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C8D0" w14:textId="77777777" w:rsidR="00F15E40" w:rsidRDefault="00000000" w:rsidP="006F44AD">
      <w:pPr>
        <w:pStyle w:val="Heading1"/>
        <w:rPr>
          <w:rFonts w:ascii="Montserrat" w:hAnsi="Montserrat"/>
          <w:color w:val="0F55CD"/>
        </w:rPr>
      </w:pPr>
      <w:r>
        <w:rPr>
          <w:noProof/>
        </w:rPr>
        <mc:AlternateContent>
          <mc:Choice Requires="wps">
            <w:drawing>
              <wp:anchor distT="0" distB="0" distL="114300" distR="114300" simplePos="0" relativeHeight="251658240" behindDoc="1" locked="1" layoutInCell="1" allowOverlap="1" wp14:anchorId="73B62125" wp14:editId="2D227012">
                <wp:simplePos x="0" y="0"/>
                <wp:positionH relativeFrom="column">
                  <wp:posOffset>-937638</wp:posOffset>
                </wp:positionH>
                <wp:positionV relativeFrom="page">
                  <wp:posOffset>-3175</wp:posOffset>
                </wp:positionV>
                <wp:extent cx="7818120" cy="2075688"/>
                <wp:effectExtent l="25400" t="25400" r="30480" b="2032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18120" cy="2075688"/>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819CA57" w14:textId="77777777" w:rsidR="00F15E40" w:rsidRDefault="00F15E40" w:rsidP="00F15E40"/>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5" alt="&quot;&quot;" style="width:615.6pt;height:163.45pt;margin-top:-0.25pt;margin-left:-73.85pt;mso-height-percent:0;mso-height-relative:margin;mso-position-vertical-relative:page;mso-width-percent:0;mso-width-relative:margin;mso-wrap-distance-bottom:0;mso-wrap-distance-left:9pt;mso-wrap-distance-right:9pt;mso-wrap-distance-top:0;mso-wrap-style:square;position:absolute;visibility:visible;v-text-anchor:middle;z-index:-251657216" stroked="f">
                <v:fill r:id="rId12" o:title="" recolor="t" rotate="t" type="frame"/>
                <v:shadow on="t" type="perspective" color="black" opacity="0" origin=",0.5" offset="1.81pt,-0.03pt" matrix="2,,,2"/>
                <o:lock v:ext="edit" aspectratio="t"/>
                <v:textbox>
                  <w:txbxContent>
                    <w:p w:rsidR="00F15E40" w:rsidP="00F15E40" w14:paraId="672A6659" w14:textId="77777777"/>
                  </w:txbxContent>
                </v:textbox>
                <w10:anchorlock/>
              </v:rect>
            </w:pict>
          </mc:Fallback>
        </mc:AlternateContent>
      </w:r>
      <w:r w:rsidR="00CA51D1">
        <w:rPr>
          <w:noProof/>
        </w:rPr>
        <mc:AlternateContent>
          <mc:Choice Requires="wps">
            <w:drawing>
              <wp:anchor distT="0" distB="0" distL="114300" distR="114300" simplePos="0" relativeHeight="251662336" behindDoc="0" locked="1" layoutInCell="1" allowOverlap="1" wp14:anchorId="1D321E1C" wp14:editId="26B9DB29">
                <wp:simplePos x="0" y="0"/>
                <wp:positionH relativeFrom="column">
                  <wp:posOffset>-937952</wp:posOffset>
                </wp:positionH>
                <wp:positionV relativeFrom="page">
                  <wp:posOffset>-155575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1500F5F7" w14:textId="77777777" w:rsidR="00F15E40" w:rsidRDefault="00F15E40" w:rsidP="00F15E4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12.25pt;margin-left:-73.8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14" o:title="Equitable Community Engagement Toolkit logo" recolor="t" rotate="t" type="frame"/>
                <v:shadow on="t" type="perspective" color="black" opacity="0" origin=",0.5" offset="1.81pt,-0.03pt" matrix="2,,,2"/>
                <v:textbox>
                  <w:txbxContent>
                    <w:p w:rsidR="00F15E40" w:rsidP="00F15E40" w14:paraId="0A37501D" w14:textId="77777777">
                      <w:pPr>
                        <w:jc w:val="center"/>
                      </w:pPr>
                    </w:p>
                  </w:txbxContent>
                </v:textbox>
                <w10:anchorlock/>
              </v:rect>
            </w:pict>
          </mc:Fallback>
        </mc:AlternateContent>
      </w:r>
      <w:r>
        <w:rPr>
          <w:noProof/>
        </w:rPr>
        <mc:AlternateContent>
          <mc:Choice Requires="wps">
            <w:drawing>
              <wp:anchor distT="0" distB="0" distL="114300" distR="114300" simplePos="0" relativeHeight="251661312" behindDoc="0" locked="0" layoutInCell="1" allowOverlap="1" wp14:anchorId="43197635" wp14:editId="42D89F94">
                <wp:simplePos x="0" y="0"/>
                <wp:positionH relativeFrom="column">
                  <wp:posOffset>-937549</wp:posOffset>
                </wp:positionH>
                <wp:positionV relativeFrom="paragraph">
                  <wp:posOffset>-150471</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wps:cNvSpPr/>
                      <wps:spPr>
                        <a:xfrm>
                          <a:off x="0" y="0"/>
                          <a:ext cx="7775920" cy="1209675"/>
                        </a:xfrm>
                        <a:prstGeom prst="rect">
                          <a:avLst/>
                        </a:prstGeom>
                        <a:noFill/>
                        <a:ln>
                          <a:noFill/>
                        </a:ln>
                      </wps:spPr>
                      <wps:txbx>
                        <w:txbxContent>
                          <w:p w14:paraId="59CD47FD" w14:textId="6D42DD4C" w:rsidR="00F15E40" w:rsidRPr="006F44AD" w:rsidRDefault="00000000" w:rsidP="006F44AD">
                            <w:pPr>
                              <w:pStyle w:val="Title"/>
                            </w:pPr>
                            <w:proofErr w:type="spellStart"/>
                            <w:r>
                              <w:rPr>
                                <w:bCs/>
                              </w:rPr>
                              <w:t>Evaluación</w:t>
                            </w:r>
                            <w:proofErr w:type="spellEnd"/>
                            <w:r>
                              <w:rPr>
                                <w:bCs/>
                              </w:rPr>
                              <w:t xml:space="preserve"> de </w:t>
                            </w:r>
                            <w:r w:rsidR="003363E9">
                              <w:rPr>
                                <w:bCs/>
                              </w:rPr>
                              <w:br/>
                            </w:r>
                            <w:r>
                              <w:rPr>
                                <w:bCs/>
                              </w:rPr>
                              <w:t xml:space="preserve">las </w:t>
                            </w:r>
                            <w:proofErr w:type="spellStart"/>
                            <w:r>
                              <w:rPr>
                                <w:bCs/>
                              </w:rPr>
                              <w:t>mentalidades</w:t>
                            </w:r>
                            <w:proofErr w:type="spellEnd"/>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43197635" id="Rectangle 11" o:spid="_x0000_s1028" style="position:absolute;margin-left:-73.8pt;margin-top:-11.85pt;width:612.3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" filled="f" stroked="f">
                <v:textbox inset="2.53958mm,1.2694mm,2.53958mm,1.2694mm">
                  <w:txbxContent>
                    <w:p w14:paraId="59CD47FD" w14:textId="6D42DD4C" w:rsidR="00F15E40" w:rsidRPr="006F44AD" w:rsidRDefault="00000000" w:rsidP="006F44AD">
                      <w:pPr>
                        <w:pStyle w:val="Title"/>
                      </w:pPr>
                      <w:proofErr w:type="spellStart"/>
                      <w:r>
                        <w:rPr>
                          <w:bCs/>
                        </w:rPr>
                        <w:t>Evaluación</w:t>
                      </w:r>
                      <w:proofErr w:type="spellEnd"/>
                      <w:r>
                        <w:rPr>
                          <w:bCs/>
                        </w:rPr>
                        <w:t xml:space="preserve"> de </w:t>
                      </w:r>
                      <w:r w:rsidR="003363E9">
                        <w:rPr>
                          <w:bCs/>
                        </w:rPr>
                        <w:br/>
                      </w:r>
                      <w:r>
                        <w:rPr>
                          <w:bCs/>
                        </w:rPr>
                        <w:t xml:space="preserve">las </w:t>
                      </w:r>
                      <w:proofErr w:type="spellStart"/>
                      <w:r>
                        <w:rPr>
                          <w:bCs/>
                        </w:rPr>
                        <w:t>mentalidades</w:t>
                      </w:r>
                      <w:proofErr w:type="spellEnd"/>
                    </w:p>
                  </w:txbxContent>
                </v:textbox>
              </v:rect>
            </w:pict>
          </mc:Fallback>
        </mc:AlternateContent>
      </w:r>
    </w:p>
    <w:p w14:paraId="1A30A16A" w14:textId="77777777" w:rsidR="00F15E40" w:rsidRDefault="00F15E40" w:rsidP="006F44AD">
      <w:pPr>
        <w:pStyle w:val="Heading1"/>
      </w:pPr>
    </w:p>
    <w:p w14:paraId="56AD2EC8" w14:textId="77777777" w:rsidR="00F15E40" w:rsidRDefault="00F15E40" w:rsidP="006F44AD">
      <w:pPr>
        <w:pStyle w:val="Heading1"/>
      </w:pPr>
    </w:p>
    <w:p w14:paraId="4CE88F3D" w14:textId="77777777" w:rsidR="00F15E40" w:rsidRDefault="00F15E40" w:rsidP="006F44AD">
      <w:pPr>
        <w:pStyle w:val="Heading1"/>
      </w:pPr>
    </w:p>
    <w:p w14:paraId="10CBF62C" w14:textId="77777777" w:rsidR="003A6A6F" w:rsidRPr="0077724F" w:rsidRDefault="003A6A6F">
      <w:pPr>
        <w:rPr>
          <w:b/>
          <w:sz w:val="28"/>
          <w:szCs w:val="28"/>
        </w:rPr>
      </w:pPr>
    </w:p>
    <w:p w14:paraId="7BAFB5BF" w14:textId="77777777" w:rsidR="006F44AD" w:rsidRPr="0077724F" w:rsidRDefault="006F44AD">
      <w:pPr>
        <w:rPr>
          <w:b/>
          <w:sz w:val="28"/>
          <w:szCs w:val="28"/>
        </w:rPr>
      </w:pPr>
    </w:p>
    <w:p w14:paraId="1EDC5055" w14:textId="77777777" w:rsidR="005B0B18" w:rsidRPr="006F44AD" w:rsidRDefault="00000000" w:rsidP="4E5B351F">
      <w:pPr>
        <w:pStyle w:val="Heading1"/>
        <w:rPr>
          <w:bCs/>
        </w:rPr>
      </w:pPr>
      <w:r w:rsidRPr="4E5B351F">
        <w:rPr>
          <w:bCs/>
          <w:color w:val="0F55CD"/>
        </w:rPr>
        <w:t>Propósito</w:t>
      </w:r>
    </w:p>
    <w:p w14:paraId="05028EBF" w14:textId="77777777" w:rsidR="005B0B18" w:rsidRDefault="00000000">
      <w:r w:rsidRPr="007D199F">
        <w:t xml:space="preserve">Esta herramienta ayuda a los profesionales del gobierno de la Ciudad a identificar las mentalidades que dan forma a las participaciones. Para saber más, revise la guía de Mentalidades en </w:t>
      </w:r>
      <w:hyperlink r:id="rId15" w:history="1">
        <w:r w:rsidRPr="00AA4B30">
          <w:rPr>
            <w:rStyle w:val="Hyperlink"/>
          </w:rPr>
          <w:t>engagement-toolkit.phila.gov</w:t>
        </w:r>
      </w:hyperlink>
      <w:r w:rsidRPr="007D199F">
        <w:t xml:space="preserve">. </w:t>
      </w:r>
    </w:p>
    <w:p w14:paraId="4E2ADBE6" w14:textId="77777777" w:rsidR="007D199F" w:rsidRPr="002354A3" w:rsidRDefault="007D199F">
      <w:pPr>
        <w:rPr>
          <w:sz w:val="28"/>
          <w:szCs w:val="28"/>
        </w:rPr>
      </w:pPr>
    </w:p>
    <w:p w14:paraId="5D42EE54" w14:textId="77777777" w:rsidR="005B0B18" w:rsidRPr="003A6A6F" w:rsidRDefault="00000000" w:rsidP="006F44AD">
      <w:pPr>
        <w:pStyle w:val="Heading1"/>
      </w:pPr>
      <w:r w:rsidRPr="004C6D92">
        <w:rPr>
          <w:bCs/>
          <w:color w:val="0F55CD"/>
        </w:rPr>
        <w:t>Instrucciones</w:t>
      </w:r>
    </w:p>
    <w:p w14:paraId="6BBDFC4E" w14:textId="77777777" w:rsidR="003A6A6F" w:rsidRDefault="00000000" w:rsidP="003A6A6F">
      <w:pPr>
        <w:pBdr>
          <w:top w:val="nil"/>
          <w:left w:val="nil"/>
          <w:bottom w:val="nil"/>
          <w:right w:val="nil"/>
          <w:between w:val="nil"/>
        </w:pBdr>
        <w:rPr>
          <w:color w:val="000000"/>
        </w:rPr>
      </w:pPr>
      <w:r w:rsidRPr="00A946E9">
        <w:rPr>
          <w:color w:val="000000"/>
        </w:rPr>
        <w:t>Reserve 30 minutos para revisar el ejemplo y completar la siguiente evaluación de mentalidades. Encuentre un espacio cómodo para pensar y prepárese para sentarse y responder preguntas sobre su participación.</w:t>
      </w:r>
    </w:p>
    <w:p w14:paraId="72853CD6" w14:textId="77777777" w:rsidR="003A6A6F" w:rsidRDefault="003A6A6F" w:rsidP="003A6A6F">
      <w:pPr>
        <w:pBdr>
          <w:top w:val="nil"/>
          <w:left w:val="nil"/>
          <w:bottom w:val="nil"/>
          <w:right w:val="nil"/>
          <w:between w:val="nil"/>
        </w:pBdr>
        <w:rPr>
          <w:color w:val="000000"/>
        </w:rPr>
      </w:pPr>
    </w:p>
    <w:p w14:paraId="7C7BCB5C" w14:textId="77777777" w:rsidR="001612F2" w:rsidRDefault="00000000" w:rsidP="001612F2">
      <w:r w:rsidRPr="001F7B7F">
        <w:t>Revise la siguiente tabla de ejemplo de mentalidades. Complete después la evaluación para identificar las mentalidades de su participación.</w:t>
      </w:r>
    </w:p>
    <w:p w14:paraId="34357EBC" w14:textId="77777777" w:rsidR="00A946E9" w:rsidRDefault="00000000">
      <w:pPr>
        <w:rPr>
          <w:color w:val="000000"/>
        </w:rPr>
      </w:pPr>
      <w:r>
        <w:rPr>
          <w:color w:val="000000"/>
        </w:rPr>
        <w:br w:type="page"/>
      </w:r>
    </w:p>
    <w:p w14:paraId="034BC4F2" w14:textId="77777777" w:rsidR="005B0B18" w:rsidRPr="006F44AD" w:rsidRDefault="00000000" w:rsidP="006F44AD">
      <w:pPr>
        <w:pStyle w:val="Heading2"/>
      </w:pPr>
      <w:r w:rsidRPr="006F44AD">
        <w:rPr>
          <w:bCs/>
        </w:rPr>
        <w:lastRenderedPageBreak/>
        <w:t>Ejemplo </w:t>
      </w:r>
    </w:p>
    <w:p w14:paraId="0CCF38CE" w14:textId="77777777" w:rsidR="005B0B18" w:rsidRDefault="00000000">
      <w:pPr>
        <w:spacing w:after="0" w:line="240" w:lineRule="auto"/>
      </w:pPr>
      <w:r w:rsidRPr="00B403C0">
        <w:t>Hace una encuesta de la comunidad de Hunting Park sobre el diseño de un nuevo patio de juegos del barrio.</w:t>
      </w:r>
    </w:p>
    <w:p w14:paraId="04C2F5DB" w14:textId="77777777" w:rsidR="00A10C08" w:rsidRPr="002354A3" w:rsidRDefault="00A10C08">
      <w:pPr>
        <w:spacing w:after="0" w:line="240" w:lineRule="auto"/>
        <w:rPr>
          <w:b/>
          <w:sz w:val="28"/>
          <w:szCs w:val="28"/>
        </w:rPr>
      </w:pPr>
    </w:p>
    <w:tbl>
      <w:tblPr>
        <w:tblStyle w:val="a4"/>
        <w:tblW w:w="1125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3870"/>
        <w:gridCol w:w="3960"/>
        <w:gridCol w:w="1710"/>
      </w:tblGrid>
      <w:tr w:rsidR="00FA2EF6" w14:paraId="66EF880A" w14:textId="77777777" w:rsidTr="00F761F0">
        <w:trPr>
          <w:trHeight w:val="1636"/>
        </w:trPr>
        <w:tc>
          <w:tcPr>
            <w:tcW w:w="1710" w:type="dxa"/>
            <w:vMerge w:val="restart"/>
            <w:shd w:val="clear" w:color="auto" w:fill="EAA03F"/>
          </w:tcPr>
          <w:p w14:paraId="465E93D0" w14:textId="77777777" w:rsidR="005B0B18" w:rsidRDefault="00000000">
            <w:pPr>
              <w:ind w:left="113" w:right="113"/>
              <w:jc w:val="center"/>
            </w:pPr>
            <w:r>
              <w:rPr>
                <w:noProof/>
              </w:rPr>
              <mc:AlternateContent>
                <mc:Choice Requires="wps">
                  <w:drawing>
                    <wp:anchor distT="0" distB="0" distL="114300" distR="114300" simplePos="0" relativeHeight="251671552" behindDoc="0" locked="0" layoutInCell="1" allowOverlap="1" wp14:anchorId="0B6EBFD2" wp14:editId="32C1809B">
                      <wp:simplePos x="0" y="0"/>
                      <wp:positionH relativeFrom="column">
                        <wp:posOffset>5009515</wp:posOffset>
                      </wp:positionH>
                      <wp:positionV relativeFrom="paragraph">
                        <wp:posOffset>2540000</wp:posOffset>
                      </wp:positionV>
                      <wp:extent cx="3095625" cy="511175"/>
                      <wp:effectExtent l="0" t="0" r="0" b="0"/>
                      <wp:wrapNone/>
                      <wp:docPr id="5" name="Rectangle 5"/>
                      <wp:cNvGraphicFramePr/>
                      <a:graphic xmlns:a="http://schemas.openxmlformats.org/drawingml/2006/main">
                        <a:graphicData uri="http://schemas.microsoft.com/office/word/2010/wordprocessingShape">
                          <wps:wsp>
                            <wps:cNvSpPr/>
                            <wps:spPr>
                              <a:xfrm rot="5400000">
                                <a:off x="0" y="0"/>
                                <a:ext cx="3095625" cy="511175"/>
                              </a:xfrm>
                              <a:prstGeom prst="rect">
                                <a:avLst/>
                              </a:prstGeom>
                              <a:noFill/>
                              <a:ln>
                                <a:noFill/>
                              </a:ln>
                            </wps:spPr>
                            <wps:txbx>
                              <w:txbxContent>
                                <w:p w14:paraId="0D359829" w14:textId="77777777" w:rsidR="005E4F52" w:rsidRPr="006F44AD" w:rsidRDefault="00000000" w:rsidP="006F44AD">
                                  <w:pPr>
                                    <w:pStyle w:val="TableSideHeading"/>
                                  </w:pPr>
                                  <w:r w:rsidRPr="006F44AD">
                                    <w:rPr>
                                      <w:bCs/>
                                    </w:rPr>
                                    <w:t>Mentalidades: </w:t>
                                  </w:r>
                                  <w:r w:rsidRPr="006F44AD">
                                    <w:rPr>
                                      <w:b w:val="0"/>
                                    </w:rPr>
                                    <w:t xml:space="preserve"> </w:t>
                                  </w:r>
                                  <w:r w:rsidRPr="006F44AD">
                                    <w:rPr>
                                      <w:bCs/>
                                    </w:rPr>
                                    <w:t>Más cerca de la equidad</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 id="Rectangle 5" o:spid="_x0000_s1028" type="#_x0000_t202" style="width:243.75pt;height:40.25pt;margin-top:200pt;margin-left:394.45pt;mso-height-percent:0;mso-height-relative:margin;mso-width-percent:0;mso-width-relative:margin;mso-wrap-distance-bottom:0;mso-wrap-distance-left:9pt;mso-wrap-distance-right:9pt;mso-wrap-distance-top:0;position:absolute;rotation:90;v-text-anchor:top;z-index:251670528" filled="f" fillcolor="this" stroked="f">
                      <v:textbox inset="7.2pt,3.6pt,7.2pt,3.6pt">
                        <w:txbxContent>
                          <w:p w:rsidR="005E4F52" w:rsidRPr="006F44AD" w:rsidP="006F44AD" w14:textId="67A9AACB">
                            <w:pPr>
                              <w:pStyle w:val="TableSideHeading"/>
                              <w:bidi w:val="0"/>
                            </w:pPr>
                            <w:r w:rsidRPr="006F44AD">
                              <w:rPr>
                                <w:b/>
                                <w:bCs/>
                                <w:rtl w:val="0"/>
                              </w:rPr>
                              <w:t>Mentalidades: </w:t>
                            </w:r>
                            <w:r w:rsidRPr="006F44AD">
                              <w:rPr>
                                <w:b w:val="0"/>
                                <w:rtl w:val="0"/>
                              </w:rPr>
                              <w:t xml:space="preserve"> </w:t>
                            </w:r>
                            <w:r w:rsidRPr="006F44AD">
                              <w:rPr>
                                <w:b/>
                                <w:bCs/>
                                <w:rtl w:val="0"/>
                              </w:rPr>
                              <w:t>Más cerca de la equidad</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46F7F51" wp14:editId="04742B6F">
                      <wp:simplePos x="0" y="0"/>
                      <wp:positionH relativeFrom="column">
                        <wp:posOffset>-962323</wp:posOffset>
                      </wp:positionH>
                      <wp:positionV relativeFrom="paragraph">
                        <wp:posOffset>2482578</wp:posOffset>
                      </wp:positionV>
                      <wp:extent cx="3095813" cy="511751"/>
                      <wp:effectExtent l="0" t="0" r="0" b="0"/>
                      <wp:wrapNone/>
                      <wp:docPr id="4" name="Rectangle 4"/>
                      <wp:cNvGraphicFramePr/>
                      <a:graphic xmlns:a="http://schemas.openxmlformats.org/drawingml/2006/main">
                        <a:graphicData uri="http://schemas.microsoft.com/office/word/2010/wordprocessingShape">
                          <wps:wsp>
                            <wps:cNvSpPr/>
                            <wps:spPr>
                              <a:xfrm rot="16200000">
                                <a:off x="0" y="0"/>
                                <a:ext cx="3095813" cy="511751"/>
                              </a:xfrm>
                              <a:prstGeom prst="rect">
                                <a:avLst/>
                              </a:prstGeom>
                              <a:noFill/>
                              <a:ln>
                                <a:noFill/>
                              </a:ln>
                            </wps:spPr>
                            <wps:txbx>
                              <w:txbxContent>
                                <w:p w14:paraId="14C30486" w14:textId="77777777" w:rsidR="005E4F52" w:rsidRPr="005E4F52" w:rsidRDefault="00000000" w:rsidP="006F44AD">
                                  <w:pPr>
                                    <w:pStyle w:val="TableSideHeading"/>
                                  </w:pPr>
                                  <w:r w:rsidRPr="005E4F52">
                                    <w:rPr>
                                      <w:bCs/>
                                    </w:rPr>
                                    <w:t>Mentalidades: </w:t>
                                  </w:r>
                                  <w:r w:rsidRPr="005E4F52">
                                    <w:rPr>
                                      <w:b w:val="0"/>
                                    </w:rPr>
                                    <w:t xml:space="preserve"> </w:t>
                                  </w:r>
                                  <w:r w:rsidRPr="005E4F52">
                                    <w:rPr>
                                      <w:bCs/>
                                    </w:rPr>
                                    <w:t>Lejos de la equidad</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 id="Rectangle 4" o:spid="_x0000_s1029" type="#_x0000_t202" style="width:243.76pt;height:40.3pt;margin-top:195.48pt;margin-left:-75.77pt;mso-height-percent:0;mso-height-relative:margin;mso-width-percent:0;mso-width-relative:margin;mso-wrap-distance-bottom:0;mso-wrap-distance-left:9pt;mso-wrap-distance-right:9pt;mso-wrap-distance-top:0;position:absolute;rotation:270;v-text-anchor:top;z-index:251668480" filled="f" fillcolor="this" stroked="f">
                      <v:textbox inset="7.2pt,3.6pt,7.2pt,3.6pt">
                        <w:txbxContent>
                          <w:p w:rsidR="005E4F52" w:rsidRPr="005E4F52" w:rsidP="006F44AD" w14:textId="5DE4E2A6">
                            <w:pPr>
                              <w:pStyle w:val="TableSideHeading"/>
                              <w:bidi w:val="0"/>
                            </w:pPr>
                            <w:r w:rsidRPr="005E4F52">
                              <w:rPr>
                                <w:b/>
                                <w:bCs/>
                                <w:rtl w:val="0"/>
                              </w:rPr>
                              <w:t>Mentalidades: </w:t>
                            </w:r>
                            <w:r w:rsidRPr="005E4F52">
                              <w:rPr>
                                <w:b w:val="0"/>
                                <w:rtl w:val="0"/>
                              </w:rPr>
                              <w:t xml:space="preserve"> </w:t>
                            </w:r>
                            <w:r w:rsidRPr="005E4F52">
                              <w:rPr>
                                <w:b/>
                                <w:bCs/>
                                <w:rtl w:val="0"/>
                              </w:rPr>
                              <w:t>Lejos de la equidad</w:t>
                            </w:r>
                          </w:p>
                        </w:txbxContent>
                      </v:textbox>
                    </v:shape>
                  </w:pict>
                </mc:Fallback>
              </mc:AlternateContent>
            </w:r>
          </w:p>
        </w:tc>
        <w:tc>
          <w:tcPr>
            <w:tcW w:w="3870" w:type="dxa"/>
          </w:tcPr>
          <w:p w14:paraId="3559652A" w14:textId="77777777" w:rsidR="005B0B18" w:rsidRPr="003A6A6F" w:rsidRDefault="00000000" w:rsidP="003C3AEA">
            <w:pPr>
              <w:pStyle w:val="Tablesubhead"/>
              <w:ind w:left="88"/>
              <w:jc w:val="left"/>
            </w:pPr>
            <w:r w:rsidRPr="003A6A6F">
              <w:t>Igualdad</w:t>
            </w:r>
          </w:p>
          <w:p w14:paraId="418ABD98" w14:textId="77777777" w:rsidR="005B0B18" w:rsidRDefault="00000000" w:rsidP="003C3AEA">
            <w:pPr>
              <w:ind w:left="88"/>
            </w:pPr>
            <w:r w:rsidRPr="00DF2513">
              <w:t>La encuesta está disponible en línea en inglés.</w:t>
            </w:r>
          </w:p>
        </w:tc>
        <w:tc>
          <w:tcPr>
            <w:tcW w:w="3960" w:type="dxa"/>
          </w:tcPr>
          <w:p w14:paraId="0298590C" w14:textId="77777777" w:rsidR="005B0B18" w:rsidRPr="003A6A6F" w:rsidRDefault="00000000" w:rsidP="003C3AEA">
            <w:pPr>
              <w:pStyle w:val="Tablesubhead"/>
              <w:ind w:left="88"/>
              <w:jc w:val="left"/>
            </w:pPr>
            <w:r w:rsidRPr="003A6A6F">
              <w:t>Equidad</w:t>
            </w:r>
          </w:p>
          <w:p w14:paraId="299CD942" w14:textId="77777777" w:rsidR="005B0B18" w:rsidRDefault="00000000" w:rsidP="003C3AEA">
            <w:pPr>
              <w:pStyle w:val="Tablenormal0"/>
              <w:ind w:left="88"/>
              <w:jc w:val="left"/>
            </w:pPr>
            <w:r w:rsidRPr="006F4C12">
              <w:t>La encuesta está disponible en línea en inglés, español y mandarín. También está impresa y disponible en los centros comunitarios locales.</w:t>
            </w:r>
          </w:p>
          <w:p w14:paraId="01477FCA" w14:textId="77777777" w:rsidR="00F761F0" w:rsidRDefault="00F761F0" w:rsidP="003C3AEA">
            <w:pPr>
              <w:pStyle w:val="Tablenormal0"/>
              <w:ind w:left="88"/>
              <w:jc w:val="left"/>
            </w:pPr>
          </w:p>
        </w:tc>
        <w:tc>
          <w:tcPr>
            <w:tcW w:w="1710" w:type="dxa"/>
            <w:vMerge w:val="restart"/>
            <w:shd w:val="clear" w:color="auto" w:fill="EAA03F"/>
          </w:tcPr>
          <w:p w14:paraId="2EFE2573" w14:textId="77777777" w:rsidR="005B0B18" w:rsidRDefault="005B0B18">
            <w:pPr>
              <w:ind w:left="113" w:right="113"/>
              <w:jc w:val="center"/>
            </w:pPr>
          </w:p>
        </w:tc>
      </w:tr>
      <w:tr w:rsidR="00FA2EF6" w14:paraId="6FCDC59D" w14:textId="77777777" w:rsidTr="006D55DF">
        <w:tc>
          <w:tcPr>
            <w:tcW w:w="1710" w:type="dxa"/>
            <w:vMerge/>
            <w:shd w:val="clear" w:color="auto" w:fill="EAA03F"/>
          </w:tcPr>
          <w:p w14:paraId="0E42D61E" w14:textId="77777777" w:rsidR="00467855" w:rsidRDefault="00467855" w:rsidP="00467855">
            <w:pPr>
              <w:widowControl w:val="0"/>
              <w:pBdr>
                <w:top w:val="nil"/>
                <w:left w:val="nil"/>
                <w:bottom w:val="nil"/>
                <w:right w:val="nil"/>
                <w:between w:val="nil"/>
              </w:pBdr>
              <w:spacing w:line="276" w:lineRule="auto"/>
            </w:pPr>
          </w:p>
        </w:tc>
        <w:tc>
          <w:tcPr>
            <w:tcW w:w="3870" w:type="dxa"/>
          </w:tcPr>
          <w:p w14:paraId="351CFD0A" w14:textId="77777777" w:rsidR="00467855" w:rsidRPr="00EA7577" w:rsidRDefault="00000000" w:rsidP="003C3AEA">
            <w:pPr>
              <w:pStyle w:val="Tablesubhead"/>
              <w:ind w:left="88"/>
              <w:jc w:val="left"/>
            </w:pPr>
            <w:r w:rsidRPr="00EA7577">
              <w:t>Extractiva</w:t>
            </w:r>
          </w:p>
          <w:p w14:paraId="34242EB1" w14:textId="77777777" w:rsidR="00467855" w:rsidRDefault="00000000" w:rsidP="003C3AEA">
            <w:pPr>
              <w:pStyle w:val="Tablenormal0"/>
              <w:ind w:left="88"/>
              <w:jc w:val="left"/>
            </w:pPr>
            <w:r w:rsidRPr="0096583F">
              <w:t>Lanza la encuesta después de que los miembros de la comunidad informan que no quieren el nuevo patio de juegos en el barrio.</w:t>
            </w:r>
          </w:p>
          <w:p w14:paraId="6B200FC5" w14:textId="77777777" w:rsidR="00F761F0" w:rsidRDefault="00F761F0" w:rsidP="003C3AEA">
            <w:pPr>
              <w:pStyle w:val="Tablenormal0"/>
              <w:ind w:left="88"/>
              <w:jc w:val="left"/>
            </w:pPr>
          </w:p>
        </w:tc>
        <w:tc>
          <w:tcPr>
            <w:tcW w:w="3960" w:type="dxa"/>
          </w:tcPr>
          <w:p w14:paraId="4809DFBE" w14:textId="77777777" w:rsidR="00467855" w:rsidRPr="00A6030E" w:rsidRDefault="00000000" w:rsidP="003C3AEA">
            <w:pPr>
              <w:pStyle w:val="Tablesubhead"/>
              <w:ind w:left="88"/>
              <w:jc w:val="left"/>
            </w:pPr>
            <w:r>
              <w:t>Generativa</w:t>
            </w:r>
          </w:p>
          <w:p w14:paraId="3DD95A82" w14:textId="77777777" w:rsidR="00467855" w:rsidRDefault="00000000" w:rsidP="003C3AEA">
            <w:pPr>
              <w:pStyle w:val="Tablenormal0"/>
              <w:ind w:left="88"/>
              <w:jc w:val="left"/>
            </w:pPr>
            <w:r w:rsidRPr="00AF0C96">
              <w:t>Lanza la encuesta después de que los miembros de la comunidad solicitaron recopilar la información de forma anónima.</w:t>
            </w:r>
          </w:p>
        </w:tc>
        <w:tc>
          <w:tcPr>
            <w:tcW w:w="1710" w:type="dxa"/>
            <w:vMerge/>
            <w:shd w:val="clear" w:color="auto" w:fill="EAA03F"/>
          </w:tcPr>
          <w:p w14:paraId="567208F0" w14:textId="77777777" w:rsidR="00467855" w:rsidRDefault="00467855" w:rsidP="00467855">
            <w:pPr>
              <w:widowControl w:val="0"/>
              <w:pBdr>
                <w:top w:val="nil"/>
                <w:left w:val="nil"/>
                <w:bottom w:val="nil"/>
                <w:right w:val="nil"/>
                <w:between w:val="nil"/>
              </w:pBdr>
              <w:spacing w:line="276" w:lineRule="auto"/>
            </w:pPr>
          </w:p>
        </w:tc>
      </w:tr>
      <w:tr w:rsidR="00FA2EF6" w14:paraId="7219582B" w14:textId="77777777" w:rsidTr="006D55DF">
        <w:tc>
          <w:tcPr>
            <w:tcW w:w="1710" w:type="dxa"/>
            <w:vMerge/>
            <w:shd w:val="clear" w:color="auto" w:fill="EAA03F"/>
          </w:tcPr>
          <w:p w14:paraId="4422FD7D" w14:textId="77777777" w:rsidR="00FD35CD" w:rsidRDefault="00FD35CD" w:rsidP="00FD35CD">
            <w:pPr>
              <w:widowControl w:val="0"/>
              <w:pBdr>
                <w:top w:val="nil"/>
                <w:left w:val="nil"/>
                <w:bottom w:val="nil"/>
                <w:right w:val="nil"/>
                <w:between w:val="nil"/>
              </w:pBdr>
            </w:pPr>
          </w:p>
        </w:tc>
        <w:tc>
          <w:tcPr>
            <w:tcW w:w="3870" w:type="dxa"/>
          </w:tcPr>
          <w:p w14:paraId="0D637C28" w14:textId="77777777" w:rsidR="00FD35CD" w:rsidRPr="00A6030E" w:rsidRDefault="00000000" w:rsidP="003C3AEA">
            <w:pPr>
              <w:pStyle w:val="Tablesubhead"/>
              <w:ind w:left="88"/>
              <w:jc w:val="left"/>
            </w:pPr>
            <w:r w:rsidRPr="00A6030E">
              <w:t>Centrada en el gobierno</w:t>
            </w:r>
          </w:p>
          <w:p w14:paraId="3C9EB28B" w14:textId="77777777" w:rsidR="00FD35CD" w:rsidRDefault="00000000" w:rsidP="003C3AEA">
            <w:pPr>
              <w:pStyle w:val="Tablesubhead"/>
              <w:ind w:left="88"/>
              <w:jc w:val="left"/>
              <w:rPr>
                <w:b w:val="0"/>
                <w:bCs w:val="0"/>
                <w:color w:val="auto"/>
              </w:rPr>
            </w:pPr>
            <w:r w:rsidRPr="00840D49">
              <w:rPr>
                <w:b w:val="0"/>
                <w:bCs w:val="0"/>
                <w:color w:val="auto"/>
              </w:rPr>
              <w:t>La encuesta contiene preguntas sobre las cuales el gobierno de la Ciudad ya decidió. Se espera también que el equipo laboral de la Ciudad revise los resultados de la encuesta por su cuenta para informar otras decisiones.</w:t>
            </w:r>
          </w:p>
          <w:p w14:paraId="2F345830" w14:textId="77777777" w:rsidR="00F761F0" w:rsidRPr="003A6A6F" w:rsidRDefault="00F761F0" w:rsidP="003C3AEA">
            <w:pPr>
              <w:pStyle w:val="Tablesubhead"/>
              <w:ind w:left="88"/>
              <w:jc w:val="left"/>
            </w:pPr>
          </w:p>
        </w:tc>
        <w:tc>
          <w:tcPr>
            <w:tcW w:w="3960" w:type="dxa"/>
          </w:tcPr>
          <w:p w14:paraId="0627ED2D" w14:textId="77777777" w:rsidR="00FD35CD" w:rsidRPr="00A6030E" w:rsidRDefault="00000000" w:rsidP="003C3AEA">
            <w:pPr>
              <w:pStyle w:val="Tablesubhead"/>
              <w:ind w:left="88"/>
              <w:jc w:val="left"/>
            </w:pPr>
            <w:r w:rsidRPr="00A6030E">
              <w:t>Centrada en la comunidad</w:t>
            </w:r>
          </w:p>
          <w:p w14:paraId="44C2929E" w14:textId="77777777" w:rsidR="00FD35CD" w:rsidRPr="003A6A6F" w:rsidRDefault="00000000" w:rsidP="003C3AEA">
            <w:pPr>
              <w:pStyle w:val="Tablesubhead"/>
              <w:ind w:left="88"/>
              <w:jc w:val="left"/>
            </w:pPr>
            <w:r w:rsidRPr="00D620D6">
              <w:rPr>
                <w:b w:val="0"/>
                <w:bCs w:val="0"/>
                <w:color w:val="auto"/>
              </w:rPr>
              <w:t>La encuesta contiene preguntas sobre las cuales el gobierno de la Ciudad desea información de la comunidad. Usted define también un proceso claro de toma de decisiones para que el equipo laboral de la Ciudad revise y considere los resultados de la encuesta.</w:t>
            </w:r>
          </w:p>
        </w:tc>
        <w:tc>
          <w:tcPr>
            <w:tcW w:w="1710" w:type="dxa"/>
            <w:vMerge/>
            <w:shd w:val="clear" w:color="auto" w:fill="EAA03F"/>
          </w:tcPr>
          <w:p w14:paraId="777F84DF" w14:textId="77777777" w:rsidR="00FD35CD" w:rsidRDefault="00FD35CD" w:rsidP="00FD35CD">
            <w:pPr>
              <w:widowControl w:val="0"/>
              <w:pBdr>
                <w:top w:val="nil"/>
                <w:left w:val="nil"/>
                <w:bottom w:val="nil"/>
                <w:right w:val="nil"/>
                <w:between w:val="nil"/>
              </w:pBdr>
            </w:pPr>
          </w:p>
        </w:tc>
      </w:tr>
      <w:tr w:rsidR="00FA2EF6" w14:paraId="2F7D1A19" w14:textId="77777777" w:rsidTr="006D55DF">
        <w:tc>
          <w:tcPr>
            <w:tcW w:w="1710" w:type="dxa"/>
            <w:vMerge/>
            <w:shd w:val="clear" w:color="auto" w:fill="EAA03F"/>
          </w:tcPr>
          <w:p w14:paraId="51585EE2" w14:textId="77777777" w:rsidR="00FD35CD" w:rsidRDefault="00FD35CD" w:rsidP="00FD35CD">
            <w:pPr>
              <w:widowControl w:val="0"/>
              <w:pBdr>
                <w:top w:val="nil"/>
                <w:left w:val="nil"/>
                <w:bottom w:val="nil"/>
                <w:right w:val="nil"/>
                <w:between w:val="nil"/>
              </w:pBdr>
              <w:spacing w:line="276" w:lineRule="auto"/>
            </w:pPr>
          </w:p>
        </w:tc>
        <w:tc>
          <w:tcPr>
            <w:tcW w:w="3870" w:type="dxa"/>
          </w:tcPr>
          <w:p w14:paraId="463CE848" w14:textId="77777777" w:rsidR="00FD35CD" w:rsidRPr="003A6A6F" w:rsidRDefault="00000000" w:rsidP="003C3AEA">
            <w:pPr>
              <w:pStyle w:val="Tablesubhead"/>
              <w:ind w:left="88"/>
              <w:jc w:val="left"/>
            </w:pPr>
            <w:r w:rsidRPr="003A6A6F">
              <w:t>Personal</w:t>
            </w:r>
          </w:p>
          <w:p w14:paraId="29A7E661" w14:textId="77777777" w:rsidR="00FD35CD" w:rsidRDefault="00000000" w:rsidP="003C3AEA">
            <w:pPr>
              <w:pStyle w:val="Tablenormal0"/>
              <w:ind w:left="88"/>
              <w:jc w:val="left"/>
            </w:pPr>
            <w:r w:rsidRPr="006A406D">
              <w:t>La encuesta está escrita en un nivel de lectura alto. Tampoco ofrece oportunidades para que los miembros de la comunidad hagan preguntas de aclaración o soliciten apoyo.</w:t>
            </w:r>
          </w:p>
          <w:p w14:paraId="293DD102" w14:textId="77777777" w:rsidR="00F761F0" w:rsidRDefault="00F761F0" w:rsidP="003C3AEA">
            <w:pPr>
              <w:pStyle w:val="Tablenormal0"/>
              <w:ind w:left="88"/>
              <w:jc w:val="left"/>
            </w:pPr>
          </w:p>
        </w:tc>
        <w:tc>
          <w:tcPr>
            <w:tcW w:w="3960" w:type="dxa"/>
          </w:tcPr>
          <w:p w14:paraId="4388154A" w14:textId="77777777" w:rsidR="00FD35CD" w:rsidRPr="003A6A6F" w:rsidRDefault="00000000" w:rsidP="003C3AEA">
            <w:pPr>
              <w:pStyle w:val="Tablesubhead"/>
              <w:ind w:left="88"/>
              <w:jc w:val="left"/>
            </w:pPr>
            <w:r>
              <w:t>Colectiva</w:t>
            </w:r>
          </w:p>
          <w:p w14:paraId="56A5905F" w14:textId="77777777" w:rsidR="00FD35CD" w:rsidRDefault="00000000" w:rsidP="003C3AEA">
            <w:pPr>
              <w:pStyle w:val="Tablenormal0"/>
              <w:ind w:left="88"/>
              <w:jc w:val="left"/>
            </w:pPr>
            <w:r w:rsidRPr="00640960">
              <w:t>La encuesta está escrita en lenguaje sencillo a un nivel de lectura bajo. Usted además entrena a los recopiladores de la encuesta y a las organizaciones enfocadas en la comunidad para que brinden apoyo.</w:t>
            </w:r>
          </w:p>
        </w:tc>
        <w:tc>
          <w:tcPr>
            <w:tcW w:w="1710" w:type="dxa"/>
            <w:vMerge/>
            <w:shd w:val="clear" w:color="auto" w:fill="EAA03F"/>
          </w:tcPr>
          <w:p w14:paraId="28A07A35" w14:textId="77777777" w:rsidR="00FD35CD" w:rsidRDefault="00FD35CD" w:rsidP="00FD35CD">
            <w:pPr>
              <w:widowControl w:val="0"/>
              <w:pBdr>
                <w:top w:val="nil"/>
                <w:left w:val="nil"/>
                <w:bottom w:val="nil"/>
                <w:right w:val="nil"/>
                <w:between w:val="nil"/>
              </w:pBdr>
              <w:spacing w:line="276" w:lineRule="auto"/>
            </w:pPr>
          </w:p>
        </w:tc>
      </w:tr>
      <w:tr w:rsidR="00FA2EF6" w14:paraId="622182E1" w14:textId="77777777" w:rsidTr="006D55DF">
        <w:tc>
          <w:tcPr>
            <w:tcW w:w="1710" w:type="dxa"/>
            <w:vMerge/>
            <w:shd w:val="clear" w:color="auto" w:fill="EAA03F"/>
          </w:tcPr>
          <w:p w14:paraId="6D5EF890" w14:textId="77777777" w:rsidR="00FD35CD" w:rsidRDefault="00FD35CD" w:rsidP="00FD35CD">
            <w:pPr>
              <w:widowControl w:val="0"/>
              <w:pBdr>
                <w:top w:val="nil"/>
                <w:left w:val="nil"/>
                <w:bottom w:val="nil"/>
                <w:right w:val="nil"/>
                <w:between w:val="nil"/>
              </w:pBdr>
              <w:spacing w:line="276" w:lineRule="auto"/>
            </w:pPr>
          </w:p>
        </w:tc>
        <w:tc>
          <w:tcPr>
            <w:tcW w:w="3870" w:type="dxa"/>
          </w:tcPr>
          <w:p w14:paraId="6F729117" w14:textId="77777777" w:rsidR="00FD35CD" w:rsidRPr="003A6A6F" w:rsidRDefault="00000000" w:rsidP="003C3AEA">
            <w:pPr>
              <w:pStyle w:val="Tablesubhead"/>
              <w:ind w:left="88"/>
              <w:jc w:val="left"/>
            </w:pPr>
            <w:r w:rsidRPr="003A6A6F">
              <w:t>Reactiva</w:t>
            </w:r>
          </w:p>
          <w:p w14:paraId="19350509" w14:textId="77777777" w:rsidR="00FD35CD" w:rsidRDefault="00000000" w:rsidP="003C3AEA">
            <w:pPr>
              <w:pStyle w:val="Tablenormal0"/>
              <w:ind w:left="88"/>
              <w:jc w:val="left"/>
            </w:pPr>
            <w:r w:rsidRPr="00482D1E">
              <w:t>Espera para colaborar con las organizaciones enfocadas en la comunidad hasta que no recibe encuestas completadas.</w:t>
            </w:r>
          </w:p>
        </w:tc>
        <w:tc>
          <w:tcPr>
            <w:tcW w:w="3960" w:type="dxa"/>
          </w:tcPr>
          <w:p w14:paraId="220EF07B" w14:textId="77777777" w:rsidR="00FD35CD" w:rsidRPr="003A6A6F" w:rsidRDefault="00000000" w:rsidP="003C3AEA">
            <w:pPr>
              <w:pStyle w:val="Tablesubhead"/>
              <w:ind w:left="88"/>
              <w:jc w:val="left"/>
            </w:pPr>
            <w:r w:rsidRPr="003A6A6F">
              <w:t>Proactiva</w:t>
            </w:r>
          </w:p>
          <w:p w14:paraId="322C59BA" w14:textId="77777777" w:rsidR="00FD35CD" w:rsidRDefault="00000000" w:rsidP="003C3AEA">
            <w:pPr>
              <w:pStyle w:val="Tablenormal0"/>
              <w:ind w:left="88"/>
              <w:jc w:val="left"/>
            </w:pPr>
            <w:r w:rsidRPr="006E12DD">
              <w:t>Colabora con las organizaciones enfocadas en la comunidad para recopilar las encuestas completadas. Esto lo planifica con anticipación porque ya lo ha hecho antes con éxito.</w:t>
            </w:r>
          </w:p>
          <w:p w14:paraId="6A7B1381" w14:textId="77777777" w:rsidR="00F761F0" w:rsidRDefault="00F761F0" w:rsidP="003C3AEA">
            <w:pPr>
              <w:pStyle w:val="Tablenormal0"/>
              <w:ind w:left="88"/>
              <w:jc w:val="left"/>
            </w:pPr>
          </w:p>
        </w:tc>
        <w:tc>
          <w:tcPr>
            <w:tcW w:w="1710" w:type="dxa"/>
            <w:vMerge/>
            <w:shd w:val="clear" w:color="auto" w:fill="EAA03F"/>
          </w:tcPr>
          <w:p w14:paraId="0EA81B07" w14:textId="77777777" w:rsidR="00FD35CD" w:rsidRDefault="00FD35CD" w:rsidP="00FD35CD">
            <w:pPr>
              <w:widowControl w:val="0"/>
              <w:pBdr>
                <w:top w:val="nil"/>
                <w:left w:val="nil"/>
                <w:bottom w:val="nil"/>
                <w:right w:val="nil"/>
                <w:between w:val="nil"/>
              </w:pBdr>
              <w:spacing w:line="276" w:lineRule="auto"/>
            </w:pPr>
          </w:p>
        </w:tc>
      </w:tr>
      <w:tr w:rsidR="00FA2EF6" w14:paraId="60EF746A" w14:textId="77777777" w:rsidTr="006D55DF">
        <w:tc>
          <w:tcPr>
            <w:tcW w:w="1710" w:type="dxa"/>
            <w:vMerge/>
            <w:shd w:val="clear" w:color="auto" w:fill="EAA03F"/>
          </w:tcPr>
          <w:p w14:paraId="3AA6D971" w14:textId="77777777" w:rsidR="00FD35CD" w:rsidRDefault="00FD35CD" w:rsidP="00FD35CD">
            <w:pPr>
              <w:widowControl w:val="0"/>
              <w:pBdr>
                <w:top w:val="nil"/>
                <w:left w:val="nil"/>
                <w:bottom w:val="nil"/>
                <w:right w:val="nil"/>
                <w:between w:val="nil"/>
              </w:pBdr>
              <w:spacing w:line="276" w:lineRule="auto"/>
            </w:pPr>
          </w:p>
        </w:tc>
        <w:tc>
          <w:tcPr>
            <w:tcW w:w="3870" w:type="dxa"/>
          </w:tcPr>
          <w:p w14:paraId="2DF08683" w14:textId="77777777" w:rsidR="00FD35CD" w:rsidRPr="003A6A6F" w:rsidRDefault="00000000" w:rsidP="003C3AEA">
            <w:pPr>
              <w:pStyle w:val="Tablesubhead"/>
              <w:ind w:left="88"/>
              <w:jc w:val="left"/>
            </w:pPr>
            <w:r w:rsidRPr="003A6A6F">
              <w:t>Escasez</w:t>
            </w:r>
          </w:p>
          <w:p w14:paraId="7F652DD9" w14:textId="77777777" w:rsidR="00FD35CD" w:rsidRDefault="00000000" w:rsidP="003C3AEA">
            <w:pPr>
              <w:pStyle w:val="Tablenormal0"/>
              <w:ind w:left="88"/>
              <w:jc w:val="left"/>
            </w:pPr>
            <w:r w:rsidRPr="0061161C">
              <w:t>No tiene tiempo de recopilar suficientes encuestas para lograr el objetivo de su participación. Sin embargo, hay una organización enfocada en la comunidad que interactúa con esta. Decide no colaborar con ellos porque se siente apurado y sin recursos. Y no desea tener que apoyar también el trabajo de la organización. Sin debatirlo con su patrocinador, se abstiene de la colaboración. Como resultado, duplica los esfuerzos de participación en la misma comunidad y es posible que no logre su objetivo.</w:t>
            </w:r>
          </w:p>
          <w:p w14:paraId="679CCB00" w14:textId="77777777" w:rsidR="00F761F0" w:rsidRDefault="00F761F0" w:rsidP="003C3AEA">
            <w:pPr>
              <w:pStyle w:val="Tablenormal0"/>
              <w:ind w:left="88"/>
              <w:jc w:val="left"/>
            </w:pPr>
          </w:p>
        </w:tc>
        <w:tc>
          <w:tcPr>
            <w:tcW w:w="3960" w:type="dxa"/>
          </w:tcPr>
          <w:p w14:paraId="0524B1DE" w14:textId="77777777" w:rsidR="00FD35CD" w:rsidRPr="003A6A6F" w:rsidRDefault="00000000" w:rsidP="003C3AEA">
            <w:pPr>
              <w:pStyle w:val="Tablesubhead"/>
              <w:ind w:left="88"/>
              <w:jc w:val="left"/>
            </w:pPr>
            <w:r w:rsidRPr="003A6A6F">
              <w:t>Abundancia</w:t>
            </w:r>
          </w:p>
          <w:p w14:paraId="6BC85695" w14:textId="77777777" w:rsidR="006D55DF" w:rsidRDefault="00000000" w:rsidP="003C3AEA">
            <w:pPr>
              <w:pStyle w:val="Tablenormal0"/>
              <w:ind w:left="88"/>
              <w:jc w:val="left"/>
            </w:pPr>
            <w:r w:rsidRPr="00FD35CD">
              <w:t>No tiene tiempo de recopilar suficientes encuestas para lograr el objetivo de su participación. Sin embargo, hay una organización enfocada en la comunidad que interactúa con esta. Usted decide colaborar con ellos para aumentar su capacidad de recopilar encuestas. Y desea apoyar también el trabajo de la organización, de modo que usted y su patrocinador aceptan prolongar la fecha límite</w:t>
            </w:r>
          </w:p>
          <w:p w14:paraId="7FAE7029" w14:textId="77777777" w:rsidR="00FD35CD" w:rsidRDefault="00000000" w:rsidP="003C3AEA">
            <w:pPr>
              <w:pStyle w:val="Tablenormal0"/>
              <w:ind w:left="88"/>
              <w:jc w:val="left"/>
            </w:pPr>
            <w:r w:rsidRPr="00FD35CD">
              <w:t>de su objetivo. Como resultado, genera una nueva asociación, mejora la experiencia de la comunidad y puede alcanzar su objetivo.</w:t>
            </w:r>
          </w:p>
        </w:tc>
        <w:tc>
          <w:tcPr>
            <w:tcW w:w="1710" w:type="dxa"/>
            <w:vMerge/>
            <w:shd w:val="clear" w:color="auto" w:fill="EAA03F"/>
          </w:tcPr>
          <w:p w14:paraId="6211D399" w14:textId="77777777" w:rsidR="00FD35CD" w:rsidRDefault="00FD35CD" w:rsidP="00FD35CD">
            <w:pPr>
              <w:widowControl w:val="0"/>
              <w:pBdr>
                <w:top w:val="nil"/>
                <w:left w:val="nil"/>
                <w:bottom w:val="nil"/>
                <w:right w:val="nil"/>
                <w:between w:val="nil"/>
              </w:pBdr>
              <w:spacing w:line="276" w:lineRule="auto"/>
            </w:pPr>
          </w:p>
        </w:tc>
      </w:tr>
    </w:tbl>
    <w:p w14:paraId="5D51EC8F" w14:textId="77777777" w:rsidR="005B0B18" w:rsidRDefault="005B0B18">
      <w:pPr>
        <w:tabs>
          <w:tab w:val="left" w:pos="2980"/>
        </w:tabs>
        <w:spacing w:after="0" w:line="240" w:lineRule="auto"/>
        <w:rPr>
          <w:b/>
        </w:rPr>
      </w:pPr>
    </w:p>
    <w:p w14:paraId="2AED12ED" w14:textId="77777777" w:rsidR="003A6A6F" w:rsidRDefault="003A6A6F">
      <w:pPr>
        <w:rPr>
          <w:b/>
        </w:rPr>
      </w:pPr>
    </w:p>
    <w:p w14:paraId="63FBD3EE" w14:textId="77777777" w:rsidR="008D65CC" w:rsidRDefault="00000000">
      <w:pPr>
        <w:rPr>
          <w:b/>
        </w:rPr>
      </w:pPr>
      <w:r>
        <w:rPr>
          <w:b/>
          <w:bCs/>
        </w:rPr>
        <w:br w:type="page"/>
      </w:r>
    </w:p>
    <w:p w14:paraId="4EFE3664" w14:textId="77777777" w:rsidR="005B0B18" w:rsidRPr="00EA7577" w:rsidRDefault="00000000" w:rsidP="006F44AD">
      <w:pPr>
        <w:pStyle w:val="Heading2"/>
      </w:pPr>
      <w:r>
        <w:rPr>
          <w:bCs/>
        </w:rPr>
        <w:lastRenderedPageBreak/>
        <w:t>Evaluación </w:t>
      </w:r>
    </w:p>
    <w:p w14:paraId="09796782" w14:textId="77777777" w:rsidR="001F21B5" w:rsidRDefault="00000000" w:rsidP="001F21B5">
      <w:r>
        <w:t xml:space="preserve">¿Cuál es su participación? Considere una participación pasada, presente o futura. </w:t>
      </w:r>
    </w:p>
    <w:p w14:paraId="11849D27" w14:textId="77777777" w:rsidR="005B0B18" w:rsidRDefault="005B0B18">
      <w:pPr>
        <w:spacing w:after="0" w:line="240" w:lineRule="auto"/>
      </w:pPr>
    </w:p>
    <w:p w14:paraId="278D9A1E" w14:textId="77777777" w:rsidR="001F21B5" w:rsidRDefault="001F21B5">
      <w:pPr>
        <w:spacing w:after="0" w:line="240" w:lineRule="auto"/>
      </w:pPr>
    </w:p>
    <w:p w14:paraId="7E5E262B" w14:textId="77777777" w:rsidR="001F21B5" w:rsidRDefault="001F21B5">
      <w:pPr>
        <w:spacing w:after="0" w:line="240" w:lineRule="auto"/>
      </w:pPr>
    </w:p>
    <w:p w14:paraId="7CEB4571" w14:textId="77777777" w:rsidR="000C2E45" w:rsidRDefault="00000000" w:rsidP="000C2E45">
      <w:r>
        <w:t xml:space="preserve">Utilice la siguiente tabla para considerar cómo su mentalidad da forma a las acciones de su participación. </w:t>
      </w:r>
    </w:p>
    <w:p w14:paraId="68D3E9C6" w14:textId="77777777" w:rsidR="001F21B5" w:rsidRPr="002354A3" w:rsidRDefault="001F21B5">
      <w:pPr>
        <w:spacing w:after="0" w:line="240" w:lineRule="auto"/>
        <w:rPr>
          <w:iCs/>
          <w:sz w:val="28"/>
          <w:szCs w:val="28"/>
        </w:rPr>
      </w:pPr>
    </w:p>
    <w:tbl>
      <w:tblPr>
        <w:tblStyle w:val="a5"/>
        <w:tblW w:w="1107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3780"/>
        <w:gridCol w:w="3600"/>
        <w:gridCol w:w="1800"/>
      </w:tblGrid>
      <w:tr w:rsidR="00FA2EF6" w14:paraId="6418E2EF" w14:textId="77777777" w:rsidTr="007B0BD5">
        <w:tc>
          <w:tcPr>
            <w:tcW w:w="1890" w:type="dxa"/>
            <w:vMerge w:val="restart"/>
          </w:tcPr>
          <w:p w14:paraId="24BC3629" w14:textId="77777777" w:rsidR="0063122A" w:rsidRDefault="0063122A" w:rsidP="005E4F52">
            <w:pPr>
              <w:ind w:left="113" w:right="113"/>
              <w:jc w:val="center"/>
              <w:rPr>
                <w:b/>
              </w:rPr>
            </w:pPr>
          </w:p>
          <w:p w14:paraId="63768594" w14:textId="77777777" w:rsidR="0063122A" w:rsidRDefault="0063122A" w:rsidP="005E4F52">
            <w:pPr>
              <w:ind w:left="113" w:right="113"/>
              <w:jc w:val="center"/>
              <w:rPr>
                <w:b/>
              </w:rPr>
            </w:pPr>
          </w:p>
          <w:p w14:paraId="54EF71EE" w14:textId="77777777" w:rsidR="005B0B18" w:rsidRPr="005E4F52" w:rsidRDefault="00000000" w:rsidP="0063122A">
            <w:pPr>
              <w:ind w:right="113"/>
              <w:rPr>
                <w:b/>
              </w:rPr>
            </w:pPr>
            <w:r>
              <w:rPr>
                <w:noProof/>
              </w:rPr>
              <mc:AlternateContent>
                <mc:Choice Requires="wps">
                  <w:drawing>
                    <wp:anchor distT="0" distB="0" distL="114300" distR="114300" simplePos="0" relativeHeight="251665408" behindDoc="0" locked="0" layoutInCell="1" allowOverlap="1" wp14:anchorId="77B2EF1A" wp14:editId="268BB7FA">
                      <wp:simplePos x="0" y="0"/>
                      <wp:positionH relativeFrom="column">
                        <wp:posOffset>-1023619</wp:posOffset>
                      </wp:positionH>
                      <wp:positionV relativeFrom="paragraph">
                        <wp:posOffset>2016449</wp:posOffset>
                      </wp:positionV>
                      <wp:extent cx="3095813" cy="511751"/>
                      <wp:effectExtent l="0" t="0" r="0" b="0"/>
                      <wp:wrapNone/>
                      <wp:docPr id="2" name="Rectangle 2"/>
                      <wp:cNvGraphicFramePr/>
                      <a:graphic xmlns:a="http://schemas.openxmlformats.org/drawingml/2006/main">
                        <a:graphicData uri="http://schemas.microsoft.com/office/word/2010/wordprocessingShape">
                          <wps:wsp>
                            <wps:cNvSpPr/>
                            <wps:spPr>
                              <a:xfrm rot="16200000">
                                <a:off x="0" y="0"/>
                                <a:ext cx="3095813" cy="511751"/>
                              </a:xfrm>
                              <a:prstGeom prst="rect">
                                <a:avLst/>
                              </a:prstGeom>
                              <a:noFill/>
                              <a:ln>
                                <a:noFill/>
                              </a:ln>
                            </wps:spPr>
                            <wps:txbx>
                              <w:txbxContent>
                                <w:p w14:paraId="18306B86" w14:textId="77777777" w:rsidR="005E4F52" w:rsidRPr="006F44AD" w:rsidRDefault="00000000" w:rsidP="006F44AD">
                                  <w:pPr>
                                    <w:pStyle w:val="TableSideHeading"/>
                                  </w:pPr>
                                  <w:r w:rsidRPr="006F44AD">
                                    <w:rPr>
                                      <w:bCs/>
                                    </w:rPr>
                                    <w:t>Mentalidades: </w:t>
                                  </w:r>
                                  <w:r w:rsidRPr="006F44AD">
                                    <w:rPr>
                                      <w:b w:val="0"/>
                                    </w:rPr>
                                    <w:t xml:space="preserve"> </w:t>
                                  </w:r>
                                  <w:r w:rsidRPr="006F44AD">
                                    <w:rPr>
                                      <w:bCs/>
                                    </w:rPr>
                                    <w:t>Lejos de la equidad</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 id="Rectangle 2" o:spid="_x0000_s1030" type="#_x0000_t202" style="width:243.76pt;height:40.3pt;margin-top:158.78pt;margin-left:-80.6pt;mso-height-percent:0;mso-height-relative:margin;mso-width-percent:0;mso-width-relative:margin;mso-wrap-distance-bottom:0;mso-wrap-distance-left:9pt;mso-wrap-distance-right:9pt;mso-wrap-distance-top:0;position:absolute;rotation:270;v-text-anchor:top;z-index:251664384" filled="f" fillcolor="this" stroked="f">
                      <v:textbox inset="7.2pt,3.6pt,7.2pt,3.6pt">
                        <w:txbxContent>
                          <w:p w:rsidR="005E4F52" w:rsidRPr="006F44AD" w:rsidP="006F44AD" w14:textId="2DE836DE">
                            <w:pPr>
                              <w:pStyle w:val="TableSideHeading"/>
                              <w:bidi w:val="0"/>
                            </w:pPr>
                            <w:r w:rsidRPr="006F44AD">
                              <w:rPr>
                                <w:b/>
                                <w:bCs/>
                                <w:rtl w:val="0"/>
                              </w:rPr>
                              <w:t>Mentalidades: </w:t>
                            </w:r>
                            <w:r w:rsidRPr="006F44AD">
                              <w:rPr>
                                <w:b w:val="0"/>
                                <w:rtl w:val="0"/>
                              </w:rPr>
                              <w:t xml:space="preserve"> </w:t>
                            </w:r>
                            <w:r w:rsidRPr="006F44AD">
                              <w:rPr>
                                <w:b/>
                                <w:bCs/>
                                <w:rtl w:val="0"/>
                              </w:rPr>
                              <w:t>Lejos de la equidad</w:t>
                            </w:r>
                          </w:p>
                        </w:txbxContent>
                      </v:textbox>
                    </v:shape>
                  </w:pict>
                </mc:Fallback>
              </mc:AlternateContent>
            </w:r>
          </w:p>
        </w:tc>
        <w:tc>
          <w:tcPr>
            <w:tcW w:w="3780" w:type="dxa"/>
          </w:tcPr>
          <w:p w14:paraId="00F29846" w14:textId="77777777" w:rsidR="00213403" w:rsidRDefault="00000000" w:rsidP="007B0BD5">
            <w:pPr>
              <w:pStyle w:val="Tablesubhead"/>
              <w:ind w:left="91"/>
              <w:jc w:val="both"/>
            </w:pPr>
            <w:r w:rsidRPr="00EA7577">
              <w:t>Igualdad</w:t>
            </w:r>
          </w:p>
          <w:p w14:paraId="75C85C9D" w14:textId="77777777" w:rsidR="007B0BD5" w:rsidRDefault="007B0BD5" w:rsidP="007B0BD5">
            <w:pPr>
              <w:pStyle w:val="Tablesubhead"/>
              <w:ind w:left="91"/>
              <w:jc w:val="both"/>
            </w:pPr>
          </w:p>
          <w:p w14:paraId="2295F32A" w14:textId="77777777" w:rsidR="007B0BD5" w:rsidRDefault="007B0BD5" w:rsidP="007B0BD5">
            <w:pPr>
              <w:pStyle w:val="Tablesubhead"/>
              <w:ind w:left="91"/>
              <w:jc w:val="both"/>
            </w:pPr>
          </w:p>
          <w:p w14:paraId="6D9E687F" w14:textId="77777777" w:rsidR="007B0BD5" w:rsidRDefault="007B0BD5" w:rsidP="007B0BD5">
            <w:pPr>
              <w:pStyle w:val="Tablesubhead"/>
              <w:ind w:left="91"/>
              <w:jc w:val="both"/>
            </w:pPr>
          </w:p>
        </w:tc>
        <w:tc>
          <w:tcPr>
            <w:tcW w:w="3600" w:type="dxa"/>
          </w:tcPr>
          <w:p w14:paraId="711BD2F5" w14:textId="77777777" w:rsidR="005B0B18" w:rsidRDefault="00000000" w:rsidP="007B0BD5">
            <w:pPr>
              <w:pStyle w:val="Tablesubhead"/>
              <w:ind w:left="91"/>
              <w:jc w:val="both"/>
            </w:pPr>
            <w:r w:rsidRPr="00EA7577">
              <w:t>Equidad</w:t>
            </w:r>
          </w:p>
        </w:tc>
        <w:tc>
          <w:tcPr>
            <w:tcW w:w="1800" w:type="dxa"/>
            <w:vMerge w:val="restart"/>
          </w:tcPr>
          <w:p w14:paraId="537906E6" w14:textId="77777777" w:rsidR="0063122A" w:rsidRDefault="0063122A" w:rsidP="005E4F52">
            <w:pPr>
              <w:ind w:left="113" w:right="113"/>
              <w:jc w:val="center"/>
              <w:rPr>
                <w:b/>
              </w:rPr>
            </w:pPr>
          </w:p>
          <w:p w14:paraId="650A962C" w14:textId="77777777" w:rsidR="0063122A" w:rsidRDefault="0063122A" w:rsidP="005E4F52">
            <w:pPr>
              <w:ind w:left="113" w:right="113"/>
              <w:jc w:val="center"/>
              <w:rPr>
                <w:b/>
              </w:rPr>
            </w:pPr>
          </w:p>
          <w:p w14:paraId="622FF00C" w14:textId="77777777" w:rsidR="005B0B18" w:rsidRPr="005E4F52" w:rsidRDefault="00000000" w:rsidP="005E4F52">
            <w:pPr>
              <w:ind w:left="113" w:right="113"/>
              <w:jc w:val="center"/>
              <w:rPr>
                <w:b/>
              </w:rPr>
            </w:pPr>
            <w:r>
              <w:rPr>
                <w:noProof/>
              </w:rPr>
              <mc:AlternateContent>
                <mc:Choice Requires="wps">
                  <w:drawing>
                    <wp:anchor distT="0" distB="0" distL="114300" distR="114300" simplePos="0" relativeHeight="251667456" behindDoc="0" locked="0" layoutInCell="1" allowOverlap="1" wp14:anchorId="591DAB4A" wp14:editId="62411BEF">
                      <wp:simplePos x="0" y="0"/>
                      <wp:positionH relativeFrom="column">
                        <wp:posOffset>-937895</wp:posOffset>
                      </wp:positionH>
                      <wp:positionV relativeFrom="paragraph">
                        <wp:posOffset>2074182</wp:posOffset>
                      </wp:positionV>
                      <wp:extent cx="3095813" cy="511751"/>
                      <wp:effectExtent l="0" t="0" r="0" b="0"/>
                      <wp:wrapNone/>
                      <wp:docPr id="3" name="Rectangle 3"/>
                      <wp:cNvGraphicFramePr/>
                      <a:graphic xmlns:a="http://schemas.openxmlformats.org/drawingml/2006/main">
                        <a:graphicData uri="http://schemas.microsoft.com/office/word/2010/wordprocessingShape">
                          <wps:wsp>
                            <wps:cNvSpPr/>
                            <wps:spPr>
                              <a:xfrm rot="5400000">
                                <a:off x="0" y="0"/>
                                <a:ext cx="3095813" cy="511751"/>
                              </a:xfrm>
                              <a:prstGeom prst="rect">
                                <a:avLst/>
                              </a:prstGeom>
                              <a:noFill/>
                              <a:ln>
                                <a:noFill/>
                              </a:ln>
                            </wps:spPr>
                            <wps:txbx>
                              <w:txbxContent>
                                <w:p w14:paraId="666F1289" w14:textId="77777777" w:rsidR="005E4F52" w:rsidRPr="006F44AD" w:rsidRDefault="00000000" w:rsidP="006F44AD">
                                  <w:pPr>
                                    <w:pStyle w:val="TableSideHeading"/>
                                  </w:pPr>
                                  <w:r w:rsidRPr="006F44AD">
                                    <w:rPr>
                                      <w:bCs/>
                                    </w:rPr>
                                    <w:t>Mentalidades: </w:t>
                                  </w:r>
                                  <w:r w:rsidRPr="006F44AD">
                                    <w:rPr>
                                      <w:b w:val="0"/>
                                    </w:rPr>
                                    <w:t xml:space="preserve"> </w:t>
                                  </w:r>
                                  <w:r w:rsidRPr="006F44AD">
                                    <w:rPr>
                                      <w:bCs/>
                                    </w:rPr>
                                    <w:t>Más cerca de la equidad</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 id="Rectangle 3" o:spid="_x0000_s1031" type="#_x0000_t202" style="width:243.76pt;height:40.3pt;margin-top:163.32pt;margin-left:-73.85pt;mso-height-percent:0;mso-height-relative:margin;mso-width-percent:0;mso-width-relative:margin;mso-wrap-distance-bottom:0;mso-wrap-distance-left:9pt;mso-wrap-distance-right:9pt;mso-wrap-distance-top:0;position:absolute;rotation:90;v-text-anchor:top;z-index:251666432" filled="f" fillcolor="this" stroked="f">
                      <v:textbox inset="7.2pt,3.6pt,7.2pt,3.6pt">
                        <w:txbxContent>
                          <w:p w:rsidR="005E4F52" w:rsidRPr="006F44AD" w:rsidP="006F44AD" w14:textId="172EC879">
                            <w:pPr>
                              <w:pStyle w:val="TableSideHeading"/>
                              <w:bidi w:val="0"/>
                            </w:pPr>
                            <w:r w:rsidRPr="006F44AD">
                              <w:rPr>
                                <w:b/>
                                <w:bCs/>
                                <w:rtl w:val="0"/>
                              </w:rPr>
                              <w:t>Mentalidades: </w:t>
                            </w:r>
                            <w:r w:rsidRPr="006F44AD">
                              <w:rPr>
                                <w:b w:val="0"/>
                                <w:rtl w:val="0"/>
                              </w:rPr>
                              <w:t xml:space="preserve"> </w:t>
                            </w:r>
                            <w:r w:rsidRPr="006F44AD">
                              <w:rPr>
                                <w:b/>
                                <w:bCs/>
                                <w:rtl w:val="0"/>
                              </w:rPr>
                              <w:t>Más cerca de la equidad</w:t>
                            </w:r>
                          </w:p>
                        </w:txbxContent>
                      </v:textbox>
                    </v:shape>
                  </w:pict>
                </mc:Fallback>
              </mc:AlternateContent>
            </w:r>
          </w:p>
        </w:tc>
      </w:tr>
      <w:tr w:rsidR="00FA2EF6" w14:paraId="28D01C22" w14:textId="77777777" w:rsidTr="007B0BD5">
        <w:tc>
          <w:tcPr>
            <w:tcW w:w="1890" w:type="dxa"/>
            <w:vMerge/>
          </w:tcPr>
          <w:p w14:paraId="29C6DE37" w14:textId="77777777" w:rsidR="007B0BD5" w:rsidRDefault="007B0BD5" w:rsidP="007B0BD5">
            <w:pPr>
              <w:widowControl w:val="0"/>
              <w:pBdr>
                <w:top w:val="nil"/>
                <w:left w:val="nil"/>
                <w:bottom w:val="nil"/>
                <w:right w:val="nil"/>
                <w:between w:val="nil"/>
              </w:pBdr>
            </w:pPr>
          </w:p>
        </w:tc>
        <w:tc>
          <w:tcPr>
            <w:tcW w:w="3780" w:type="dxa"/>
          </w:tcPr>
          <w:p w14:paraId="4D47B354" w14:textId="77777777" w:rsidR="007B0BD5" w:rsidRDefault="00000000" w:rsidP="007B0BD5">
            <w:pPr>
              <w:pStyle w:val="Tablesubhead"/>
              <w:ind w:left="91"/>
              <w:jc w:val="both"/>
            </w:pPr>
            <w:r>
              <w:t>Extractiva</w:t>
            </w:r>
          </w:p>
          <w:p w14:paraId="52B78511" w14:textId="77777777" w:rsidR="007B0BD5" w:rsidRDefault="007B0BD5" w:rsidP="007B0BD5">
            <w:pPr>
              <w:pStyle w:val="Tablesubhead"/>
              <w:ind w:left="91"/>
              <w:jc w:val="both"/>
            </w:pPr>
          </w:p>
          <w:p w14:paraId="6578B810" w14:textId="77777777" w:rsidR="007B0BD5" w:rsidRDefault="007B0BD5" w:rsidP="007B0BD5">
            <w:pPr>
              <w:pStyle w:val="Tablesubhead"/>
              <w:ind w:left="91"/>
              <w:jc w:val="both"/>
            </w:pPr>
          </w:p>
          <w:p w14:paraId="633A2450" w14:textId="77777777" w:rsidR="007B0BD5" w:rsidRPr="00EA7577" w:rsidRDefault="007B0BD5" w:rsidP="007B0BD5">
            <w:pPr>
              <w:pStyle w:val="Tablesubhead"/>
              <w:ind w:left="91"/>
              <w:jc w:val="both"/>
            </w:pPr>
          </w:p>
        </w:tc>
        <w:tc>
          <w:tcPr>
            <w:tcW w:w="3600" w:type="dxa"/>
          </w:tcPr>
          <w:p w14:paraId="488FFD7C" w14:textId="77777777" w:rsidR="007B0BD5" w:rsidRPr="00EA7577" w:rsidRDefault="00000000" w:rsidP="007B0BD5">
            <w:pPr>
              <w:pStyle w:val="Tablesubhead"/>
              <w:ind w:left="91"/>
              <w:jc w:val="both"/>
            </w:pPr>
            <w:r>
              <w:t>Generativa</w:t>
            </w:r>
          </w:p>
        </w:tc>
        <w:tc>
          <w:tcPr>
            <w:tcW w:w="1800" w:type="dxa"/>
            <w:vMerge/>
          </w:tcPr>
          <w:p w14:paraId="56FC5184" w14:textId="77777777" w:rsidR="007B0BD5" w:rsidRDefault="007B0BD5" w:rsidP="007B0BD5">
            <w:pPr>
              <w:widowControl w:val="0"/>
              <w:pBdr>
                <w:top w:val="nil"/>
                <w:left w:val="nil"/>
                <w:bottom w:val="nil"/>
                <w:right w:val="nil"/>
                <w:between w:val="nil"/>
              </w:pBdr>
            </w:pPr>
          </w:p>
        </w:tc>
      </w:tr>
      <w:tr w:rsidR="00FA2EF6" w14:paraId="4F8A221B" w14:textId="77777777" w:rsidTr="007B0BD5">
        <w:tc>
          <w:tcPr>
            <w:tcW w:w="1890" w:type="dxa"/>
            <w:vMerge/>
          </w:tcPr>
          <w:p w14:paraId="52D3FC66" w14:textId="77777777" w:rsidR="007B0BD5" w:rsidRDefault="007B0BD5" w:rsidP="007B0BD5">
            <w:pPr>
              <w:widowControl w:val="0"/>
              <w:pBdr>
                <w:top w:val="nil"/>
                <w:left w:val="nil"/>
                <w:bottom w:val="nil"/>
                <w:right w:val="nil"/>
                <w:between w:val="nil"/>
              </w:pBdr>
            </w:pPr>
          </w:p>
        </w:tc>
        <w:tc>
          <w:tcPr>
            <w:tcW w:w="3780" w:type="dxa"/>
          </w:tcPr>
          <w:p w14:paraId="2986A9CD" w14:textId="77777777" w:rsidR="007B0BD5" w:rsidRDefault="00000000" w:rsidP="007B0BD5">
            <w:pPr>
              <w:pStyle w:val="Tablesubhead"/>
              <w:ind w:left="91"/>
              <w:jc w:val="both"/>
            </w:pPr>
            <w:r w:rsidRPr="00EA7577">
              <w:t>Centrada en el gobierno</w:t>
            </w:r>
          </w:p>
          <w:p w14:paraId="2E2CE1A9" w14:textId="77777777" w:rsidR="007B0BD5" w:rsidRDefault="007B0BD5" w:rsidP="007B0BD5">
            <w:pPr>
              <w:pStyle w:val="Tablesubhead"/>
              <w:ind w:left="91"/>
              <w:jc w:val="both"/>
            </w:pPr>
          </w:p>
          <w:p w14:paraId="0AD9CF1D" w14:textId="77777777" w:rsidR="007B0BD5" w:rsidRDefault="007B0BD5" w:rsidP="007B0BD5">
            <w:pPr>
              <w:pStyle w:val="Tablesubhead"/>
              <w:ind w:left="91"/>
              <w:jc w:val="both"/>
            </w:pPr>
          </w:p>
          <w:p w14:paraId="60EB4048" w14:textId="77777777" w:rsidR="007B0BD5" w:rsidRPr="00EA7577" w:rsidRDefault="007B0BD5" w:rsidP="007B0BD5">
            <w:pPr>
              <w:pStyle w:val="Tablesubhead"/>
              <w:ind w:left="91"/>
              <w:jc w:val="both"/>
            </w:pPr>
          </w:p>
        </w:tc>
        <w:tc>
          <w:tcPr>
            <w:tcW w:w="3600" w:type="dxa"/>
          </w:tcPr>
          <w:p w14:paraId="3C0E0590" w14:textId="77777777" w:rsidR="007B0BD5" w:rsidRPr="00EA7577" w:rsidRDefault="00000000" w:rsidP="007B0BD5">
            <w:pPr>
              <w:pStyle w:val="Tablesubhead"/>
              <w:ind w:left="91"/>
              <w:jc w:val="both"/>
            </w:pPr>
            <w:r w:rsidRPr="00EA7577">
              <w:t>Centrada en la comunidad</w:t>
            </w:r>
          </w:p>
        </w:tc>
        <w:tc>
          <w:tcPr>
            <w:tcW w:w="1800" w:type="dxa"/>
            <w:vMerge/>
          </w:tcPr>
          <w:p w14:paraId="00F84560" w14:textId="77777777" w:rsidR="007B0BD5" w:rsidRDefault="007B0BD5" w:rsidP="007B0BD5">
            <w:pPr>
              <w:widowControl w:val="0"/>
              <w:pBdr>
                <w:top w:val="nil"/>
                <w:left w:val="nil"/>
                <w:bottom w:val="nil"/>
                <w:right w:val="nil"/>
                <w:between w:val="nil"/>
              </w:pBdr>
            </w:pPr>
          </w:p>
        </w:tc>
      </w:tr>
      <w:tr w:rsidR="00FA2EF6" w14:paraId="758C2D43" w14:textId="77777777" w:rsidTr="007B0BD5">
        <w:tc>
          <w:tcPr>
            <w:tcW w:w="1890" w:type="dxa"/>
            <w:vMerge/>
          </w:tcPr>
          <w:p w14:paraId="014B426D" w14:textId="77777777" w:rsidR="007B0BD5" w:rsidRDefault="007B0BD5" w:rsidP="007B0BD5">
            <w:pPr>
              <w:widowControl w:val="0"/>
              <w:pBdr>
                <w:top w:val="nil"/>
                <w:left w:val="nil"/>
                <w:bottom w:val="nil"/>
                <w:right w:val="nil"/>
                <w:between w:val="nil"/>
              </w:pBdr>
              <w:spacing w:line="276" w:lineRule="auto"/>
            </w:pPr>
          </w:p>
        </w:tc>
        <w:tc>
          <w:tcPr>
            <w:tcW w:w="3780" w:type="dxa"/>
          </w:tcPr>
          <w:p w14:paraId="3F3FFBA8" w14:textId="77777777" w:rsidR="007B0BD5" w:rsidRDefault="00000000" w:rsidP="007B0BD5">
            <w:pPr>
              <w:pStyle w:val="Tablesubhead"/>
              <w:ind w:left="91"/>
              <w:jc w:val="both"/>
            </w:pPr>
            <w:r w:rsidRPr="00EA7577">
              <w:t>Personal</w:t>
            </w:r>
          </w:p>
          <w:p w14:paraId="14A62E62" w14:textId="77777777" w:rsidR="007B0BD5" w:rsidRDefault="007B0BD5" w:rsidP="007B0BD5">
            <w:pPr>
              <w:pStyle w:val="Tablesubhead"/>
              <w:ind w:left="91"/>
              <w:jc w:val="both"/>
            </w:pPr>
          </w:p>
          <w:p w14:paraId="464E1615" w14:textId="77777777" w:rsidR="007B0BD5" w:rsidRDefault="007B0BD5" w:rsidP="007B0BD5">
            <w:pPr>
              <w:pStyle w:val="Tablesubhead"/>
              <w:ind w:left="91"/>
              <w:jc w:val="both"/>
            </w:pPr>
          </w:p>
          <w:p w14:paraId="3CB1EB1C" w14:textId="77777777" w:rsidR="007B0BD5" w:rsidRDefault="007B0BD5" w:rsidP="007B0BD5">
            <w:pPr>
              <w:pStyle w:val="Tablesubhead"/>
              <w:ind w:left="91"/>
              <w:jc w:val="both"/>
            </w:pPr>
          </w:p>
        </w:tc>
        <w:tc>
          <w:tcPr>
            <w:tcW w:w="3600" w:type="dxa"/>
          </w:tcPr>
          <w:p w14:paraId="109575F4" w14:textId="77777777" w:rsidR="007B0BD5" w:rsidRDefault="00000000" w:rsidP="007B0BD5">
            <w:pPr>
              <w:pStyle w:val="Tablesubhead"/>
              <w:ind w:left="91"/>
              <w:jc w:val="both"/>
            </w:pPr>
            <w:r>
              <w:t>Colectiva</w:t>
            </w:r>
          </w:p>
        </w:tc>
        <w:tc>
          <w:tcPr>
            <w:tcW w:w="1800" w:type="dxa"/>
            <w:vMerge/>
          </w:tcPr>
          <w:p w14:paraId="50DAD0E1" w14:textId="77777777" w:rsidR="007B0BD5" w:rsidRDefault="007B0BD5" w:rsidP="007B0BD5">
            <w:pPr>
              <w:widowControl w:val="0"/>
              <w:pBdr>
                <w:top w:val="nil"/>
                <w:left w:val="nil"/>
                <w:bottom w:val="nil"/>
                <w:right w:val="nil"/>
                <w:between w:val="nil"/>
              </w:pBdr>
              <w:spacing w:line="276" w:lineRule="auto"/>
            </w:pPr>
          </w:p>
        </w:tc>
      </w:tr>
      <w:tr w:rsidR="00FA2EF6" w14:paraId="7EBA4B6B" w14:textId="77777777" w:rsidTr="007B0BD5">
        <w:tc>
          <w:tcPr>
            <w:tcW w:w="1890" w:type="dxa"/>
            <w:vMerge/>
          </w:tcPr>
          <w:p w14:paraId="1DB16844" w14:textId="77777777" w:rsidR="007B0BD5" w:rsidRDefault="007B0BD5" w:rsidP="007B0BD5">
            <w:pPr>
              <w:widowControl w:val="0"/>
              <w:pBdr>
                <w:top w:val="nil"/>
                <w:left w:val="nil"/>
                <w:bottom w:val="nil"/>
                <w:right w:val="nil"/>
                <w:between w:val="nil"/>
              </w:pBdr>
              <w:spacing w:line="276" w:lineRule="auto"/>
            </w:pPr>
          </w:p>
        </w:tc>
        <w:tc>
          <w:tcPr>
            <w:tcW w:w="3780" w:type="dxa"/>
          </w:tcPr>
          <w:p w14:paraId="39F9B52C" w14:textId="77777777" w:rsidR="007B0BD5" w:rsidRDefault="00000000" w:rsidP="007B0BD5">
            <w:pPr>
              <w:pStyle w:val="Tablesubhead"/>
              <w:ind w:left="91"/>
              <w:jc w:val="both"/>
            </w:pPr>
            <w:r w:rsidRPr="00EA7577">
              <w:t>Reactiva</w:t>
            </w:r>
          </w:p>
          <w:p w14:paraId="3BA822DD" w14:textId="77777777" w:rsidR="007B0BD5" w:rsidRDefault="007B0BD5" w:rsidP="007B0BD5">
            <w:pPr>
              <w:pStyle w:val="Tablesubhead"/>
              <w:ind w:left="91"/>
              <w:jc w:val="both"/>
            </w:pPr>
          </w:p>
          <w:p w14:paraId="3C4E55DF" w14:textId="77777777" w:rsidR="007B0BD5" w:rsidRDefault="007B0BD5" w:rsidP="007B0BD5">
            <w:pPr>
              <w:pStyle w:val="Tablesubhead"/>
              <w:ind w:left="91"/>
              <w:jc w:val="both"/>
            </w:pPr>
          </w:p>
          <w:p w14:paraId="244120D5" w14:textId="77777777" w:rsidR="007B0BD5" w:rsidRDefault="007B0BD5" w:rsidP="007B0BD5">
            <w:pPr>
              <w:pStyle w:val="Tablesubhead"/>
              <w:ind w:left="91"/>
              <w:jc w:val="both"/>
            </w:pPr>
          </w:p>
        </w:tc>
        <w:tc>
          <w:tcPr>
            <w:tcW w:w="3600" w:type="dxa"/>
          </w:tcPr>
          <w:p w14:paraId="71955687" w14:textId="77777777" w:rsidR="007B0BD5" w:rsidRDefault="00000000" w:rsidP="007B0BD5">
            <w:pPr>
              <w:pStyle w:val="Tablesubhead"/>
              <w:ind w:left="91"/>
              <w:jc w:val="both"/>
            </w:pPr>
            <w:r w:rsidRPr="00EA7577">
              <w:t>Proactiva</w:t>
            </w:r>
          </w:p>
        </w:tc>
        <w:tc>
          <w:tcPr>
            <w:tcW w:w="1800" w:type="dxa"/>
            <w:vMerge/>
          </w:tcPr>
          <w:p w14:paraId="0925805E" w14:textId="77777777" w:rsidR="007B0BD5" w:rsidRDefault="007B0BD5" w:rsidP="007B0BD5">
            <w:pPr>
              <w:widowControl w:val="0"/>
              <w:pBdr>
                <w:top w:val="nil"/>
                <w:left w:val="nil"/>
                <w:bottom w:val="nil"/>
                <w:right w:val="nil"/>
                <w:between w:val="nil"/>
              </w:pBdr>
              <w:spacing w:line="276" w:lineRule="auto"/>
            </w:pPr>
          </w:p>
        </w:tc>
      </w:tr>
      <w:tr w:rsidR="00FA2EF6" w14:paraId="06D3FD61" w14:textId="77777777" w:rsidTr="007B0BD5">
        <w:tc>
          <w:tcPr>
            <w:tcW w:w="1890" w:type="dxa"/>
            <w:vMerge/>
          </w:tcPr>
          <w:p w14:paraId="4BEC4DB1" w14:textId="77777777" w:rsidR="007B0BD5" w:rsidRDefault="007B0BD5" w:rsidP="007B0BD5">
            <w:pPr>
              <w:widowControl w:val="0"/>
              <w:pBdr>
                <w:top w:val="nil"/>
                <w:left w:val="nil"/>
                <w:bottom w:val="nil"/>
                <w:right w:val="nil"/>
                <w:between w:val="nil"/>
              </w:pBdr>
              <w:spacing w:line="276" w:lineRule="auto"/>
            </w:pPr>
          </w:p>
        </w:tc>
        <w:tc>
          <w:tcPr>
            <w:tcW w:w="3780" w:type="dxa"/>
          </w:tcPr>
          <w:p w14:paraId="436D6906" w14:textId="77777777" w:rsidR="007B0BD5" w:rsidRDefault="00000000" w:rsidP="007B0BD5">
            <w:pPr>
              <w:pStyle w:val="Tablesubhead"/>
              <w:ind w:left="91"/>
              <w:jc w:val="both"/>
            </w:pPr>
            <w:r w:rsidRPr="00EA7577">
              <w:t>Escasez</w:t>
            </w:r>
          </w:p>
          <w:p w14:paraId="5762F055" w14:textId="77777777" w:rsidR="007B0BD5" w:rsidRDefault="007B0BD5" w:rsidP="007B0BD5">
            <w:pPr>
              <w:pStyle w:val="Tablesubhead"/>
              <w:ind w:left="91"/>
              <w:jc w:val="both"/>
            </w:pPr>
          </w:p>
          <w:p w14:paraId="09AACEF7" w14:textId="77777777" w:rsidR="007B0BD5" w:rsidRDefault="007B0BD5" w:rsidP="007B0BD5">
            <w:pPr>
              <w:pStyle w:val="Tablesubhead"/>
              <w:ind w:left="91"/>
              <w:jc w:val="both"/>
            </w:pPr>
          </w:p>
          <w:p w14:paraId="78D28449" w14:textId="77777777" w:rsidR="007B0BD5" w:rsidRDefault="007B0BD5" w:rsidP="007B0BD5">
            <w:pPr>
              <w:pStyle w:val="Tablesubhead"/>
              <w:ind w:left="91"/>
              <w:jc w:val="both"/>
            </w:pPr>
          </w:p>
        </w:tc>
        <w:tc>
          <w:tcPr>
            <w:tcW w:w="3600" w:type="dxa"/>
          </w:tcPr>
          <w:p w14:paraId="3F29EB51" w14:textId="77777777" w:rsidR="007B0BD5" w:rsidRDefault="00000000" w:rsidP="007B0BD5">
            <w:pPr>
              <w:pStyle w:val="Tablesubhead"/>
              <w:ind w:left="91"/>
              <w:jc w:val="both"/>
            </w:pPr>
            <w:r w:rsidRPr="00EA7577">
              <w:t>Abundancia</w:t>
            </w:r>
          </w:p>
        </w:tc>
        <w:tc>
          <w:tcPr>
            <w:tcW w:w="1800" w:type="dxa"/>
            <w:vMerge/>
          </w:tcPr>
          <w:p w14:paraId="46355393" w14:textId="77777777" w:rsidR="007B0BD5" w:rsidRDefault="007B0BD5" w:rsidP="007B0BD5">
            <w:pPr>
              <w:widowControl w:val="0"/>
              <w:pBdr>
                <w:top w:val="nil"/>
                <w:left w:val="nil"/>
                <w:bottom w:val="nil"/>
                <w:right w:val="nil"/>
                <w:between w:val="nil"/>
              </w:pBdr>
              <w:spacing w:line="276" w:lineRule="auto"/>
            </w:pPr>
          </w:p>
        </w:tc>
      </w:tr>
    </w:tbl>
    <w:p w14:paraId="0DAC36F3" w14:textId="77777777" w:rsidR="007B0BD5" w:rsidRDefault="00000000">
      <w:r>
        <w:br w:type="page"/>
      </w:r>
    </w:p>
    <w:p w14:paraId="22C4D169" w14:textId="77777777" w:rsidR="003A6A6F" w:rsidRDefault="00000000" w:rsidP="002E426D">
      <w:pPr>
        <w:pStyle w:val="Heading2"/>
      </w:pPr>
      <w:r w:rsidRPr="00EA7577">
        <w:rPr>
          <w:bCs/>
        </w:rPr>
        <w:lastRenderedPageBreak/>
        <w:t>Reflexión</w:t>
      </w:r>
    </w:p>
    <w:p w14:paraId="73A26768" w14:textId="77777777" w:rsidR="00FE2AAA" w:rsidRPr="00FE2AAA" w:rsidRDefault="00000000" w:rsidP="00FE2AAA">
      <w:r w:rsidRPr="00FE2AAA">
        <w:t>Su mentalidad ¿tiende a acercarlo o a alejarlo de la equidad en sus participaciones?</w:t>
      </w:r>
    </w:p>
    <w:p w14:paraId="3865FED0" w14:textId="77777777" w:rsidR="003A6A6F" w:rsidRDefault="003A6A6F" w:rsidP="003A6A6F"/>
    <w:p w14:paraId="3BED391F" w14:textId="77777777" w:rsidR="00A3737C" w:rsidRDefault="00A3737C" w:rsidP="003A6A6F"/>
    <w:p w14:paraId="16B51FA6" w14:textId="77777777" w:rsidR="00A3737C" w:rsidRDefault="00A3737C" w:rsidP="003A6A6F"/>
    <w:p w14:paraId="3D8BDE6C" w14:textId="77777777" w:rsidR="003A6A6F" w:rsidRDefault="00000000" w:rsidP="003A6A6F">
      <w:r w:rsidRPr="002423A4">
        <w:t>¿Qué aprendió sobre sus prácticas individuales en este ejercicio? ¿Tienden a fortalecer o a debilitar su práctica de participación equitativa?</w:t>
      </w:r>
    </w:p>
    <w:p w14:paraId="39E0BB23" w14:textId="77777777" w:rsidR="00A3737C" w:rsidRDefault="00A3737C" w:rsidP="003A6A6F"/>
    <w:p w14:paraId="7D7808C0" w14:textId="77777777" w:rsidR="00A3737C" w:rsidRDefault="00A3737C" w:rsidP="003A6A6F"/>
    <w:p w14:paraId="00F4A231" w14:textId="77777777" w:rsidR="00A3737C" w:rsidRDefault="00A3737C" w:rsidP="003A6A6F"/>
    <w:p w14:paraId="43FEEFC4" w14:textId="77777777" w:rsidR="003A6A6F" w:rsidRDefault="00000000" w:rsidP="003A6A6F">
      <w:r w:rsidRPr="00A3737C">
        <w:t>¿Qué aprendió sobre nuestras condiciones institucionales en este ejercicio? ¿Tienden a fortalecer o a debilitar su práctica de participación equitativa?</w:t>
      </w:r>
    </w:p>
    <w:p w14:paraId="2641145D" w14:textId="77777777" w:rsidR="002423A4" w:rsidRDefault="002423A4" w:rsidP="003A6A6F"/>
    <w:p w14:paraId="29B6F0C7" w14:textId="77777777" w:rsidR="002423A4" w:rsidRDefault="002423A4" w:rsidP="003A6A6F"/>
    <w:p w14:paraId="6A3FD696" w14:textId="77777777" w:rsidR="005B0B18" w:rsidRDefault="00000000">
      <w:r>
        <w:t> </w:t>
      </w:r>
    </w:p>
    <w:p w14:paraId="2E181F98" w14:textId="77777777" w:rsidR="005B0B18" w:rsidRPr="00EA7577" w:rsidRDefault="00000000" w:rsidP="006F44AD">
      <w:pPr>
        <w:pStyle w:val="Heading2"/>
      </w:pPr>
      <w:r w:rsidRPr="00EA7577">
        <w:rPr>
          <w:bCs/>
        </w:rPr>
        <w:t>Conclusiones </w:t>
      </w:r>
    </w:p>
    <w:p w14:paraId="6E80E1A8" w14:textId="77777777" w:rsidR="006A2CED" w:rsidRDefault="00000000" w:rsidP="006A2CED">
      <w:bookmarkStart w:id="0" w:name="_3dy6vkm" w:colFirst="0" w:colLast="0"/>
      <w:bookmarkEnd w:id="0"/>
      <w:r>
        <w:t xml:space="preserve">Las mentalidades no siempre son obvias, aunque siempre dan forma a sus acciones. Si bien puede estar más lejos de la equidad en algunos casos, puede estar más cerca de la equidad en otros. Nadie encarna una mentalidad de equidad todo el tiempo. </w:t>
      </w:r>
    </w:p>
    <w:p w14:paraId="615DE942" w14:textId="77777777" w:rsidR="006A2CED" w:rsidRDefault="006A2CED" w:rsidP="006A2CED"/>
    <w:p w14:paraId="6ACA734C" w14:textId="77777777" w:rsidR="005B0B18" w:rsidRDefault="00000000" w:rsidP="006A2CED">
      <w:r>
        <w:t xml:space="preserve">La inequidad en nuestras participaciones la causan nuestras prácticas individuales y las condiciones institucionales. Tomar conciencia de nuestra mentalidad desafía las creencias y los pensamientos injustos que dan forma a ambos. A través de la participación equitativa colaborativa, abogamos por mentalidades que nos ayuden a mejorar las condiciones institucionales del gobierno de la Ciudad. Para participar, comuníquese con </w:t>
      </w:r>
      <w:hyperlink r:id="rId16" w:history="1">
        <w:r w:rsidRPr="00A625FF">
          <w:rPr>
            <w:rStyle w:val="Hyperlink"/>
          </w:rPr>
          <w:t>engagement.toolkit@phila.gov</w:t>
        </w:r>
      </w:hyperlink>
      <w:r>
        <w:t>. Tenga en cuenta que este recurso solo está disponible para los empleados municipales de Filadelfia.</w:t>
      </w:r>
    </w:p>
    <w:sectPr w:rsidR="005B0B18" w:rsidSect="00580335">
      <w:headerReference w:type="default" r:id="rId17"/>
      <w:footerReference w:type="default" r:id="rId18"/>
      <w:footerReference w:type="first" r:id="rId19"/>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3F47" w14:textId="77777777" w:rsidR="00435C48" w:rsidRDefault="00435C48">
      <w:pPr>
        <w:spacing w:after="0" w:line="240" w:lineRule="auto"/>
      </w:pPr>
      <w:r>
        <w:separator/>
      </w:r>
    </w:p>
  </w:endnote>
  <w:endnote w:type="continuationSeparator" w:id="0">
    <w:p w14:paraId="4E3D9D40" w14:textId="77777777" w:rsidR="00435C48" w:rsidRDefault="0043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AAD" w14:textId="77777777" w:rsidR="005B0B18" w:rsidRPr="00BD54ED" w:rsidRDefault="00000000">
    <w:pPr>
      <w:spacing w:after="0"/>
      <w:ind w:left="-900" w:right="-720"/>
      <w:rPr>
        <w:rFonts w:ascii="Georgia" w:eastAsia="Georgia" w:hAnsi="Georgia" w:cs="Georgia"/>
        <w:color w:val="0070C0"/>
        <w:sz w:val="16"/>
        <w:szCs w:val="16"/>
      </w:rPr>
    </w:pPr>
    <w:r w:rsidRPr="00BD54ED">
      <w:rPr>
        <w:b/>
        <w:bCs/>
        <w:i/>
        <w:iCs/>
        <w:color w:val="0070C0"/>
        <w:sz w:val="16"/>
        <w:szCs w:val="16"/>
      </w:rPr>
      <w:t>    </w:t>
    </w:r>
    <w:r w:rsidR="003A6A6F" w:rsidRPr="004D5DB6">
      <w:rPr>
        <w:rStyle w:val="FooterChar"/>
      </w:rPr>
      <w:t>Herramientas de participación comunitaria equitativa: Evaluación de las mentalidades</w:t>
    </w:r>
    <w:r w:rsidRPr="00BD54ED">
      <w:rPr>
        <w:color w:val="0070C0"/>
        <w:sz w:val="16"/>
        <w:szCs w:val="16"/>
      </w:rPr>
      <w:tab/>
    </w:r>
    <w:r w:rsidRPr="00BD54ED">
      <w:rPr>
        <w:color w:val="0070C0"/>
        <w:sz w:val="16"/>
        <w:szCs w:val="16"/>
      </w:rPr>
      <w:tab/>
      <w:t xml:space="preserve"> </w:t>
    </w:r>
    <w:r w:rsidRPr="00BD54ED">
      <w:rPr>
        <w:color w:val="0070C0"/>
        <w:sz w:val="16"/>
        <w:szCs w:val="16"/>
      </w:rPr>
      <w:tab/>
    </w:r>
    <w:r w:rsidRPr="00BD54ED">
      <w:rPr>
        <w:color w:val="0070C0"/>
        <w:sz w:val="16"/>
        <w:szCs w:val="16"/>
      </w:rPr>
      <w:tab/>
    </w:r>
    <w:r w:rsidRPr="00BD54ED">
      <w:rPr>
        <w:color w:val="0070C0"/>
        <w:sz w:val="16"/>
        <w:szCs w:val="16"/>
      </w:rPr>
      <w:tab/>
    </w:r>
    <w:r w:rsidRPr="00BD54ED">
      <w:rPr>
        <w:color w:val="0070C0"/>
        <w:sz w:val="16"/>
        <w:szCs w:val="16"/>
      </w:rPr>
      <w:tab/>
      <w:t xml:space="preserve">    </w:t>
    </w:r>
    <w:r w:rsidRPr="00BD54ED">
      <w:rPr>
        <w:color w:val="0070C0"/>
        <w:sz w:val="16"/>
        <w:szCs w:val="16"/>
      </w:rPr>
      <w:tab/>
    </w:r>
    <w:r w:rsidRPr="004D5DB6">
      <w:rPr>
        <w:rStyle w:val="FooterChar"/>
      </w:rPr>
      <w:fldChar w:fldCharType="begin"/>
    </w:r>
    <w:r w:rsidRPr="004D5DB6">
      <w:rPr>
        <w:rStyle w:val="FooterChar"/>
      </w:rPr>
      <w:instrText>PAGE</w:instrText>
    </w:r>
    <w:r w:rsidRPr="004D5DB6">
      <w:rPr>
        <w:rStyle w:val="FooterChar"/>
      </w:rPr>
      <w:fldChar w:fldCharType="separate"/>
    </w:r>
    <w:r w:rsidR="00A871D4" w:rsidRPr="004D5DB6">
      <w:rPr>
        <w:rStyle w:val="FooterChar"/>
      </w:rPr>
      <w:t>1</w:t>
    </w:r>
    <w:r w:rsidRPr="004D5DB6">
      <w:rPr>
        <w:rStyle w:val="FooterChar"/>
      </w:rPr>
      <w:fldChar w:fldCharType="end"/>
    </w:r>
  </w:p>
  <w:p w14:paraId="42A57AE6" w14:textId="77777777" w:rsidR="005B0B18" w:rsidRPr="00BD54ED" w:rsidRDefault="00000000">
    <w:pPr>
      <w:spacing w:after="0"/>
      <w:ind w:left="-900" w:right="-720"/>
      <w:rPr>
        <w:rFonts w:ascii="Georgia" w:eastAsia="Georgia" w:hAnsi="Georgia" w:cs="Georgia"/>
        <w:color w:val="0070C0"/>
        <w:sz w:val="16"/>
        <w:szCs w:val="16"/>
      </w:rPr>
    </w:pPr>
    <w:r w:rsidRPr="00AB256A">
      <w:rPr>
        <w:noProof/>
        <w:sz w:val="16"/>
        <w:szCs w:val="16"/>
      </w:rPr>
      <mc:AlternateContent>
        <mc:Choice Requires="wps">
          <w:drawing>
            <wp:anchor distT="0" distB="0" distL="114300" distR="114300" simplePos="0" relativeHeight="251660288" behindDoc="0" locked="1" layoutInCell="1" allowOverlap="1" wp14:anchorId="48EBC225" wp14:editId="1783D89D">
              <wp:simplePos x="0" y="0"/>
              <wp:positionH relativeFrom="column">
                <wp:posOffset>-914400</wp:posOffset>
              </wp:positionH>
              <wp:positionV relativeFrom="page">
                <wp:posOffset>9884410</wp:posOffset>
              </wp:positionV>
              <wp:extent cx="7772400" cy="420624"/>
              <wp:effectExtent l="25400" t="25400" r="25400" b="2413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4DB257F" w14:textId="77777777" w:rsidR="00580335" w:rsidRDefault="00580335" w:rsidP="00580335"/>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50" alt="&quot;&quot;" style="width:612pt;height:33.1pt;margin-top:778.3pt;margin-left:-1in;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v:fill r:id="rId2" o:title="" recolor="t" rotate="t" type="frame"/>
              <v:shadow on="t" type="perspective" color="black" opacity="0" origin=",0.5" offset="1.81pt,-0.03pt" matrix="2,,,2"/>
              <v:textbox>
                <w:txbxContent>
                  <w:p w:rsidR="00580335" w:rsidP="00580335" w14:paraId="5DAB6C7B" w14:textId="77777777"/>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B32F" w14:textId="77777777" w:rsidR="005B0B18" w:rsidRDefault="005B0B18">
    <w:pPr>
      <w:jc w:val="right"/>
    </w:pPr>
  </w:p>
  <w:p w14:paraId="0068C1BC" w14:textId="77777777" w:rsidR="005B0B18" w:rsidRDefault="005B0B18"/>
  <w:p w14:paraId="4DDCEA7D" w14:textId="77777777" w:rsidR="005B0B18" w:rsidRDefault="005B0B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2EAB" w14:textId="77777777" w:rsidR="00435C48" w:rsidRDefault="00435C48">
      <w:pPr>
        <w:spacing w:after="0" w:line="240" w:lineRule="auto"/>
      </w:pPr>
      <w:r>
        <w:separator/>
      </w:r>
    </w:p>
  </w:footnote>
  <w:footnote w:type="continuationSeparator" w:id="0">
    <w:p w14:paraId="2487FE1B" w14:textId="77777777" w:rsidR="00435C48" w:rsidRDefault="00435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0B80" w14:textId="77777777" w:rsidR="005B0B18" w:rsidRDefault="00000000">
    <w:pPr>
      <w:pBdr>
        <w:top w:val="nil"/>
        <w:left w:val="nil"/>
        <w:bottom w:val="nil"/>
        <w:right w:val="nil"/>
        <w:between w:val="nil"/>
      </w:pBdr>
      <w:spacing w:before="200" w:after="0"/>
      <w:ind w:left="-720" w:right="-810"/>
      <w:rPr>
        <w:color w:val="000000"/>
        <w:sz w:val="18"/>
        <w:szCs w:val="18"/>
      </w:rPr>
    </w:pPr>
    <w:r w:rsidRPr="00AB256A">
      <w:rPr>
        <w:noProof/>
        <w:sz w:val="16"/>
        <w:szCs w:val="16"/>
      </w:rPr>
      <mc:AlternateContent>
        <mc:Choice Requires="wps">
          <w:drawing>
            <wp:anchor distT="0" distB="0" distL="114300" distR="114300" simplePos="0" relativeHeight="251658240" behindDoc="0" locked="1" layoutInCell="1" allowOverlap="1" wp14:anchorId="7D965129" wp14:editId="0AB47B52">
              <wp:simplePos x="0" y="0"/>
              <wp:positionH relativeFrom="column">
                <wp:posOffset>-913765</wp:posOffset>
              </wp:positionH>
              <wp:positionV relativeFrom="page">
                <wp:posOffset>-210185</wp:posOffset>
              </wp:positionV>
              <wp:extent cx="7772400" cy="420624"/>
              <wp:effectExtent l="25400" t="25400" r="2540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91F3C14" w14:textId="77777777" w:rsidR="000C78CC" w:rsidRDefault="000C78CC" w:rsidP="000C78CC"/>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alt="&quot;&quot;" style="width:612pt;height:33.1pt;margin-top:-16.55pt;margin-left:-71.9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2" o:title="" recolor="t" rotate="t" type="frame"/>
              <v:shadow on="t" type="perspective" color="black" opacity="0" origin=",0.5" offset="1.81pt,-0.03pt" matrix="2,,,2"/>
              <v:textbox>
                <w:txbxContent>
                  <w:p w:rsidR="000C78CC" w:rsidP="000C78CC" w14:paraId="02EB378F" w14:textId="77777777"/>
                </w:txbxContent>
              </v:textbox>
              <w10:anchorlock/>
            </v:rect>
          </w:pict>
        </mc:Fallback>
      </mc:AlternateContent>
    </w:r>
    <w:r>
      <w:rPr>
        <w:b/>
        <w:bCs/>
        <w:i/>
        <w:iCs/>
        <w:color w:val="000000"/>
        <w:sz w:val="20"/>
        <w:szCs w:val="20"/>
      </w:rPr>
      <w:tab/>
    </w:r>
    <w:r>
      <w:rPr>
        <w:b/>
        <w:bCs/>
        <w:i/>
        <w:iCs/>
        <w:color w:val="000000"/>
        <w:sz w:val="20"/>
        <w:szCs w:val="20"/>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14"/>
    <w:multiLevelType w:val="multilevel"/>
    <w:tmpl w:val="8D7C3F4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07185007"/>
    <w:multiLevelType w:val="multilevel"/>
    <w:tmpl w:val="CFA43F7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1664201D"/>
    <w:multiLevelType w:val="multilevel"/>
    <w:tmpl w:val="4BBA71D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15:restartNumberingAfterBreak="0">
    <w:nsid w:val="180A6B24"/>
    <w:multiLevelType w:val="multilevel"/>
    <w:tmpl w:val="11D0C0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8D84048"/>
    <w:multiLevelType w:val="multilevel"/>
    <w:tmpl w:val="AF086A5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19883BDD"/>
    <w:multiLevelType w:val="hybridMultilevel"/>
    <w:tmpl w:val="81FC3480"/>
    <w:lvl w:ilvl="0" w:tplc="A46C63D4">
      <w:start w:val="1"/>
      <w:numFmt w:val="decimal"/>
      <w:lvlText w:val="%1."/>
      <w:lvlJc w:val="left"/>
      <w:pPr>
        <w:ind w:left="1080" w:hanging="360"/>
      </w:pPr>
    </w:lvl>
    <w:lvl w:ilvl="1" w:tplc="292A7FDA" w:tentative="1">
      <w:start w:val="1"/>
      <w:numFmt w:val="lowerLetter"/>
      <w:lvlText w:val="%2."/>
      <w:lvlJc w:val="left"/>
      <w:pPr>
        <w:ind w:left="1800" w:hanging="360"/>
      </w:pPr>
    </w:lvl>
    <w:lvl w:ilvl="2" w:tplc="6820255C" w:tentative="1">
      <w:start w:val="1"/>
      <w:numFmt w:val="lowerRoman"/>
      <w:lvlText w:val="%3."/>
      <w:lvlJc w:val="right"/>
      <w:pPr>
        <w:ind w:left="2520" w:hanging="180"/>
      </w:pPr>
    </w:lvl>
    <w:lvl w:ilvl="3" w:tplc="7CAC39B8" w:tentative="1">
      <w:start w:val="1"/>
      <w:numFmt w:val="decimal"/>
      <w:lvlText w:val="%4."/>
      <w:lvlJc w:val="left"/>
      <w:pPr>
        <w:ind w:left="3240" w:hanging="360"/>
      </w:pPr>
    </w:lvl>
    <w:lvl w:ilvl="4" w:tplc="B466249E" w:tentative="1">
      <w:start w:val="1"/>
      <w:numFmt w:val="lowerLetter"/>
      <w:lvlText w:val="%5."/>
      <w:lvlJc w:val="left"/>
      <w:pPr>
        <w:ind w:left="3960" w:hanging="360"/>
      </w:pPr>
    </w:lvl>
    <w:lvl w:ilvl="5" w:tplc="3702CFDC" w:tentative="1">
      <w:start w:val="1"/>
      <w:numFmt w:val="lowerRoman"/>
      <w:lvlText w:val="%6."/>
      <w:lvlJc w:val="right"/>
      <w:pPr>
        <w:ind w:left="4680" w:hanging="180"/>
      </w:pPr>
    </w:lvl>
    <w:lvl w:ilvl="6" w:tplc="E94EF2B6" w:tentative="1">
      <w:start w:val="1"/>
      <w:numFmt w:val="decimal"/>
      <w:lvlText w:val="%7."/>
      <w:lvlJc w:val="left"/>
      <w:pPr>
        <w:ind w:left="5400" w:hanging="360"/>
      </w:pPr>
    </w:lvl>
    <w:lvl w:ilvl="7" w:tplc="D1CAEF96" w:tentative="1">
      <w:start w:val="1"/>
      <w:numFmt w:val="lowerLetter"/>
      <w:lvlText w:val="%8."/>
      <w:lvlJc w:val="left"/>
      <w:pPr>
        <w:ind w:left="6120" w:hanging="360"/>
      </w:pPr>
    </w:lvl>
    <w:lvl w:ilvl="8" w:tplc="EABA7056" w:tentative="1">
      <w:start w:val="1"/>
      <w:numFmt w:val="lowerRoman"/>
      <w:lvlText w:val="%9."/>
      <w:lvlJc w:val="right"/>
      <w:pPr>
        <w:ind w:left="6840" w:hanging="180"/>
      </w:pPr>
    </w:lvl>
  </w:abstractNum>
  <w:abstractNum w:abstractNumId="6" w15:restartNumberingAfterBreak="0">
    <w:nsid w:val="1F930C16"/>
    <w:multiLevelType w:val="multilevel"/>
    <w:tmpl w:val="B19A039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21B30F74"/>
    <w:multiLevelType w:val="multilevel"/>
    <w:tmpl w:val="0F9C400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32523374"/>
    <w:multiLevelType w:val="multilevel"/>
    <w:tmpl w:val="6AAE368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339E0051"/>
    <w:multiLevelType w:val="multilevel"/>
    <w:tmpl w:val="C4E28EA6"/>
    <w:lvl w:ilvl="0">
      <w:numFmt w:val="bullet"/>
      <w:lvlText w:val="●"/>
      <w:lvlJc w:val="left"/>
      <w:pPr>
        <w:ind w:left="72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120E04"/>
    <w:multiLevelType w:val="multilevel"/>
    <w:tmpl w:val="DA488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033E94"/>
    <w:multiLevelType w:val="multilevel"/>
    <w:tmpl w:val="C91E1F02"/>
    <w:lvl w:ilvl="0">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4C2A3329"/>
    <w:multiLevelType w:val="multilevel"/>
    <w:tmpl w:val="ED00C61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1626464"/>
    <w:multiLevelType w:val="multilevel"/>
    <w:tmpl w:val="48CE9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CB34CE"/>
    <w:multiLevelType w:val="multilevel"/>
    <w:tmpl w:val="F9DC324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20A2B7E"/>
    <w:multiLevelType w:val="multilevel"/>
    <w:tmpl w:val="58AE8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C457D2"/>
    <w:multiLevelType w:val="multilevel"/>
    <w:tmpl w:val="9B4C340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700010453">
    <w:abstractNumId w:val="7"/>
  </w:num>
  <w:num w:numId="2" w16cid:durableId="1096289501">
    <w:abstractNumId w:val="6"/>
  </w:num>
  <w:num w:numId="3" w16cid:durableId="1503659781">
    <w:abstractNumId w:val="11"/>
  </w:num>
  <w:num w:numId="4" w16cid:durableId="96800010">
    <w:abstractNumId w:val="16"/>
  </w:num>
  <w:num w:numId="5" w16cid:durableId="1847593930">
    <w:abstractNumId w:val="4"/>
  </w:num>
  <w:num w:numId="6" w16cid:durableId="404499271">
    <w:abstractNumId w:val="8"/>
  </w:num>
  <w:num w:numId="7" w16cid:durableId="1593858404">
    <w:abstractNumId w:val="14"/>
  </w:num>
  <w:num w:numId="8" w16cid:durableId="660158633">
    <w:abstractNumId w:val="0"/>
  </w:num>
  <w:num w:numId="9" w16cid:durableId="1904368609">
    <w:abstractNumId w:val="2"/>
  </w:num>
  <w:num w:numId="10" w16cid:durableId="199366996">
    <w:abstractNumId w:val="1"/>
  </w:num>
  <w:num w:numId="11" w16cid:durableId="2116829129">
    <w:abstractNumId w:val="10"/>
  </w:num>
  <w:num w:numId="12" w16cid:durableId="1430854239">
    <w:abstractNumId w:val="12"/>
  </w:num>
  <w:num w:numId="13" w16cid:durableId="1691570627">
    <w:abstractNumId w:val="3"/>
  </w:num>
  <w:num w:numId="14" w16cid:durableId="1149829426">
    <w:abstractNumId w:val="15"/>
  </w:num>
  <w:num w:numId="15" w16cid:durableId="1296369747">
    <w:abstractNumId w:val="9"/>
  </w:num>
  <w:num w:numId="16" w16cid:durableId="307169216">
    <w:abstractNumId w:val="13"/>
  </w:num>
  <w:num w:numId="17" w16cid:durableId="1497188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8"/>
    <w:rsid w:val="00012D18"/>
    <w:rsid w:val="0006300A"/>
    <w:rsid w:val="000C2E45"/>
    <w:rsid w:val="000C78CC"/>
    <w:rsid w:val="000E4AB8"/>
    <w:rsid w:val="001612F2"/>
    <w:rsid w:val="00191131"/>
    <w:rsid w:val="001C32D2"/>
    <w:rsid w:val="001E7B3C"/>
    <w:rsid w:val="001F21B5"/>
    <w:rsid w:val="001F7B7F"/>
    <w:rsid w:val="00213403"/>
    <w:rsid w:val="002354A3"/>
    <w:rsid w:val="002423A4"/>
    <w:rsid w:val="00273FA7"/>
    <w:rsid w:val="00277095"/>
    <w:rsid w:val="002806D8"/>
    <w:rsid w:val="002D14F5"/>
    <w:rsid w:val="002E426D"/>
    <w:rsid w:val="0031609C"/>
    <w:rsid w:val="003363E9"/>
    <w:rsid w:val="0034549E"/>
    <w:rsid w:val="003A6A6F"/>
    <w:rsid w:val="003B7AB7"/>
    <w:rsid w:val="003C3AEA"/>
    <w:rsid w:val="00433D7C"/>
    <w:rsid w:val="00435C48"/>
    <w:rsid w:val="00467855"/>
    <w:rsid w:val="00482D1E"/>
    <w:rsid w:val="004A05D5"/>
    <w:rsid w:val="004C6D92"/>
    <w:rsid w:val="004D5DB6"/>
    <w:rsid w:val="00580335"/>
    <w:rsid w:val="005B0B18"/>
    <w:rsid w:val="005C41D6"/>
    <w:rsid w:val="005E4F52"/>
    <w:rsid w:val="00606F40"/>
    <w:rsid w:val="0061161C"/>
    <w:rsid w:val="00620156"/>
    <w:rsid w:val="0063122A"/>
    <w:rsid w:val="00640960"/>
    <w:rsid w:val="006A2CED"/>
    <w:rsid w:val="006A406D"/>
    <w:rsid w:val="006A5F7C"/>
    <w:rsid w:val="006B7AAB"/>
    <w:rsid w:val="006D34F9"/>
    <w:rsid w:val="006D55DF"/>
    <w:rsid w:val="006E12DD"/>
    <w:rsid w:val="006F44AD"/>
    <w:rsid w:val="006F4C12"/>
    <w:rsid w:val="00751150"/>
    <w:rsid w:val="0077724F"/>
    <w:rsid w:val="007B0BD5"/>
    <w:rsid w:val="007D199F"/>
    <w:rsid w:val="00815928"/>
    <w:rsid w:val="00827E09"/>
    <w:rsid w:val="008318C4"/>
    <w:rsid w:val="00840D49"/>
    <w:rsid w:val="008667D0"/>
    <w:rsid w:val="008D65CC"/>
    <w:rsid w:val="00940ED2"/>
    <w:rsid w:val="00944B37"/>
    <w:rsid w:val="0096583F"/>
    <w:rsid w:val="009E543C"/>
    <w:rsid w:val="009F7D15"/>
    <w:rsid w:val="00A10C08"/>
    <w:rsid w:val="00A3737C"/>
    <w:rsid w:val="00A478C5"/>
    <w:rsid w:val="00A6030E"/>
    <w:rsid w:val="00A62046"/>
    <w:rsid w:val="00A625FF"/>
    <w:rsid w:val="00A871D4"/>
    <w:rsid w:val="00A946E9"/>
    <w:rsid w:val="00A954D7"/>
    <w:rsid w:val="00AA4B30"/>
    <w:rsid w:val="00AF0C96"/>
    <w:rsid w:val="00B05850"/>
    <w:rsid w:val="00B16106"/>
    <w:rsid w:val="00B403C0"/>
    <w:rsid w:val="00B56E30"/>
    <w:rsid w:val="00B77B09"/>
    <w:rsid w:val="00BD54ED"/>
    <w:rsid w:val="00BD630F"/>
    <w:rsid w:val="00C7765D"/>
    <w:rsid w:val="00CA51D1"/>
    <w:rsid w:val="00CC2518"/>
    <w:rsid w:val="00D445C8"/>
    <w:rsid w:val="00D620D6"/>
    <w:rsid w:val="00DF2513"/>
    <w:rsid w:val="00DF7546"/>
    <w:rsid w:val="00E41AEB"/>
    <w:rsid w:val="00EA63FA"/>
    <w:rsid w:val="00EA7577"/>
    <w:rsid w:val="00ED38B5"/>
    <w:rsid w:val="00EE3933"/>
    <w:rsid w:val="00F15E40"/>
    <w:rsid w:val="00F20479"/>
    <w:rsid w:val="00F761F0"/>
    <w:rsid w:val="00F7672D"/>
    <w:rsid w:val="00F858E8"/>
    <w:rsid w:val="00FA124A"/>
    <w:rsid w:val="00FA2EF6"/>
    <w:rsid w:val="00FA7FF1"/>
    <w:rsid w:val="00FD0A84"/>
    <w:rsid w:val="00FD35CD"/>
    <w:rsid w:val="00FE2AAA"/>
    <w:rsid w:val="00FF5B57"/>
    <w:rsid w:val="4E5B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878C"/>
  <w15:docId w15:val="{536FBDBF-7331-5A40-8F95-A77E39D4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6F44AD"/>
    <w:pPr>
      <w:outlineLvl w:val="0"/>
    </w:pPr>
    <w:rPr>
      <w:b/>
      <w:sz w:val="28"/>
      <w:szCs w:val="28"/>
    </w:rPr>
  </w:style>
  <w:style w:type="paragraph" w:styleId="Heading2">
    <w:name w:val="heading 2"/>
    <w:basedOn w:val="Normal"/>
    <w:next w:val="Normal"/>
    <w:uiPriority w:val="9"/>
    <w:unhideWhenUsed/>
    <w:qFormat/>
    <w:rsid w:val="006F44AD"/>
    <w:pPr>
      <w:outlineLvl w:val="1"/>
    </w:pPr>
    <w:rPr>
      <w:b/>
      <w:color w:val="0F55CD"/>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44AD"/>
    <w:pPr>
      <w:keepNext/>
      <w:keepLines/>
      <w:spacing w:before="240" w:after="60" w:line="240" w:lineRule="auto"/>
      <w:jc w:val="center"/>
    </w:pPr>
    <w:rPr>
      <w:rFonts w:ascii="Montserrat" w:eastAsia="Georgia" w:hAnsi="Montserrat" w:cs="Georgia"/>
      <w:b/>
      <w:iCs/>
      <w:color w:val="FFFFFF" w:themeColor="background1"/>
      <w:sz w:val="52"/>
      <w:szCs w:val="5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left w:w="0" w:type="dxa"/>
        <w:right w:w="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5">
    <w:name w:val="a5"/>
    <w:basedOn w:val="TableNormal"/>
    <w:pPr>
      <w:spacing w:after="0" w:line="240" w:lineRule="auto"/>
    </w:pPr>
    <w:tblPr>
      <w:tblStyleRowBandSize w:val="1"/>
      <w:tblStyleColBandSize w:val="1"/>
      <w:tblCellMar>
        <w:top w:w="100" w:type="dxa"/>
        <w:left w:w="0" w:type="dxa"/>
        <w:bottom w:w="10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A6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6F"/>
  </w:style>
  <w:style w:type="paragraph" w:styleId="Footer">
    <w:name w:val="footer"/>
    <w:basedOn w:val="Normal"/>
    <w:link w:val="FooterChar"/>
    <w:uiPriority w:val="99"/>
    <w:unhideWhenUsed/>
    <w:rsid w:val="004D5DB6"/>
    <w:pPr>
      <w:spacing w:after="0"/>
      <w:ind w:left="-900" w:right="-720"/>
    </w:pPr>
    <w:rPr>
      <w:iCs/>
      <w:color w:val="0070C0"/>
      <w:sz w:val="16"/>
      <w:szCs w:val="16"/>
    </w:rPr>
  </w:style>
  <w:style w:type="character" w:customStyle="1" w:styleId="FooterChar">
    <w:name w:val="Footer Char"/>
    <w:basedOn w:val="DefaultParagraphFont"/>
    <w:link w:val="Footer"/>
    <w:uiPriority w:val="99"/>
    <w:rsid w:val="004D5DB6"/>
    <w:rPr>
      <w:iCs/>
      <w:color w:val="0070C0"/>
      <w:sz w:val="16"/>
      <w:szCs w:val="16"/>
    </w:rPr>
  </w:style>
  <w:style w:type="character" w:customStyle="1" w:styleId="TitleChar">
    <w:name w:val="Title Char"/>
    <w:basedOn w:val="DefaultParagraphFont"/>
    <w:link w:val="Title"/>
    <w:uiPriority w:val="10"/>
    <w:rsid w:val="006F44AD"/>
    <w:rPr>
      <w:rFonts w:ascii="Montserrat" w:eastAsia="Georgia" w:hAnsi="Montserrat" w:cs="Georgia"/>
      <w:b/>
      <w:iCs/>
      <w:color w:val="FFFFFF" w:themeColor="background1"/>
      <w:sz w:val="52"/>
      <w:szCs w:val="52"/>
    </w:rPr>
  </w:style>
  <w:style w:type="paragraph" w:customStyle="1" w:styleId="TableSideHeading">
    <w:name w:val="Table Side Heading"/>
    <w:basedOn w:val="Normal"/>
    <w:qFormat/>
    <w:rsid w:val="006F44AD"/>
    <w:pPr>
      <w:spacing w:before="240"/>
      <w:jc w:val="center"/>
    </w:pPr>
    <w:rPr>
      <w:rFonts w:eastAsia="Georgia"/>
      <w:b/>
      <w:iCs/>
      <w:color w:val="000000" w:themeColor="text1"/>
    </w:rPr>
  </w:style>
  <w:style w:type="paragraph" w:customStyle="1" w:styleId="TableHeading1">
    <w:name w:val="Table Heading 1"/>
    <w:basedOn w:val="Normal"/>
    <w:qFormat/>
    <w:rsid w:val="004D5DB6"/>
    <w:pPr>
      <w:spacing w:after="0" w:line="240" w:lineRule="auto"/>
      <w:jc w:val="center"/>
    </w:pPr>
    <w:rPr>
      <w:b/>
      <w:color w:val="FFFFFF" w:themeColor="background1"/>
    </w:rPr>
  </w:style>
  <w:style w:type="paragraph" w:customStyle="1" w:styleId="Tablesubhead">
    <w:name w:val="Table subhead"/>
    <w:basedOn w:val="Normal"/>
    <w:qFormat/>
    <w:rsid w:val="004D5DB6"/>
    <w:pPr>
      <w:spacing w:after="0" w:line="240" w:lineRule="auto"/>
      <w:jc w:val="center"/>
    </w:pPr>
    <w:rPr>
      <w:b/>
      <w:bCs/>
      <w:color w:val="0F55CD"/>
    </w:rPr>
  </w:style>
  <w:style w:type="paragraph" w:customStyle="1" w:styleId="Tablenormal0">
    <w:name w:val="Table normal"/>
    <w:basedOn w:val="Normal"/>
    <w:qFormat/>
    <w:rsid w:val="004D5DB6"/>
    <w:pPr>
      <w:spacing w:after="0" w:line="240" w:lineRule="auto"/>
      <w:jc w:val="center"/>
    </w:pPr>
  </w:style>
  <w:style w:type="paragraph" w:styleId="Caption">
    <w:name w:val="caption"/>
    <w:basedOn w:val="Normal"/>
    <w:next w:val="Normal"/>
    <w:uiPriority w:val="35"/>
    <w:semiHidden/>
    <w:unhideWhenUsed/>
    <w:qFormat/>
    <w:rsid w:val="009E543C"/>
    <w:pPr>
      <w:spacing w:after="200" w:line="240" w:lineRule="auto"/>
    </w:pPr>
    <w:rPr>
      <w:i/>
      <w:iCs/>
      <w:color w:val="1F497D" w:themeColor="text2"/>
      <w:sz w:val="18"/>
      <w:szCs w:val="18"/>
    </w:rPr>
  </w:style>
  <w:style w:type="character" w:styleId="Hyperlink">
    <w:name w:val="Hyperlink"/>
    <w:basedOn w:val="DefaultParagraphFont"/>
    <w:uiPriority w:val="99"/>
    <w:unhideWhenUsed/>
    <w:rsid w:val="00AA4B30"/>
    <w:rPr>
      <w:color w:val="0000FF" w:themeColor="hyperlink"/>
      <w:u w:val="single"/>
    </w:rPr>
  </w:style>
  <w:style w:type="character" w:customStyle="1" w:styleId="UnresolvedMention1">
    <w:name w:val="Unresolved Mention1"/>
    <w:basedOn w:val="DefaultParagraphFont"/>
    <w:uiPriority w:val="99"/>
    <w:semiHidden/>
    <w:unhideWhenUsed/>
    <w:rsid w:val="00AA4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gagement.toolkit@phil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gagement-toolkit.phila.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8EE7-0941-448C-AB42-FD6715EAA862}">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7D7D6B96-E205-4A24-9FC1-62533348F618}">
  <ds:schemaRefs>
    <ds:schemaRef ds:uri="http://schemas.microsoft.com/sharepoint/v3/contenttype/forms"/>
  </ds:schemaRefs>
</ds:datastoreItem>
</file>

<file path=customXml/itemProps3.xml><?xml version="1.0" encoding="utf-8"?>
<ds:datastoreItem xmlns:ds="http://schemas.openxmlformats.org/officeDocument/2006/customXml" ds:itemID="{80A88F80-F762-488F-A215-C26A9E52C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F936C-D66A-1C42-B2A1-B554A011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Ngan</cp:lastModifiedBy>
  <cp:revision>81</cp:revision>
  <dcterms:created xsi:type="dcterms:W3CDTF">2022-12-12T16:17:00Z</dcterms:created>
  <dcterms:modified xsi:type="dcterms:W3CDTF">2023-12-06T22:39:00Z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1653200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